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F94A9" w14:textId="7F1D7BD8" w:rsidR="00013B1D" w:rsidRDefault="00013B1D" w:rsidP="009E4161">
      <w:pPr>
        <w:jc w:val="center"/>
        <w:rPr>
          <w:color w:val="002060"/>
        </w:rPr>
      </w:pPr>
    </w:p>
    <w:tbl>
      <w:tblPr>
        <w:tblW w:w="9885" w:type="dxa"/>
        <w:tblBorders>
          <w:top w:val="single" w:sz="8" w:space="0" w:color="4F81BD"/>
          <w:bottom w:val="single" w:sz="8" w:space="0" w:color="4F81BD"/>
          <w:insideH w:val="nil"/>
          <w:insideV w:val="nil"/>
        </w:tblBorders>
        <w:tblLayout w:type="fixed"/>
        <w:tblLook w:val="04A0" w:firstRow="1" w:lastRow="0" w:firstColumn="1" w:lastColumn="0" w:noHBand="0" w:noVBand="1"/>
      </w:tblPr>
      <w:tblGrid>
        <w:gridCol w:w="9885"/>
      </w:tblGrid>
      <w:tr w:rsidR="0049172E" w:rsidRPr="0049172E" w14:paraId="559EFB2D" w14:textId="77777777" w:rsidTr="0049172E">
        <w:trPr>
          <w:trHeight w:val="810"/>
        </w:trPr>
        <w:tc>
          <w:tcPr>
            <w:tcW w:w="9889" w:type="dxa"/>
            <w:tcBorders>
              <w:top w:val="single" w:sz="8" w:space="0" w:color="4F81BD"/>
              <w:left w:val="nil"/>
              <w:bottom w:val="single" w:sz="4" w:space="0" w:color="auto"/>
              <w:right w:val="nil"/>
            </w:tcBorders>
            <w:shd w:val="clear" w:color="auto" w:fill="D3DFEE"/>
            <w:hideMark/>
          </w:tcPr>
          <w:p w14:paraId="2F62DB05" w14:textId="77777777" w:rsidR="0049172E" w:rsidRDefault="0049172E" w:rsidP="0049172E">
            <w:pPr>
              <w:spacing w:after="0"/>
              <w:jc w:val="center"/>
              <w:rPr>
                <w:rFonts w:ascii="Georgia" w:hAnsi="Georgia"/>
                <w:b/>
                <w:bCs/>
                <w:color w:val="002060"/>
                <w:sz w:val="28"/>
                <w:szCs w:val="28"/>
              </w:rPr>
            </w:pPr>
            <w:r w:rsidRPr="009A066D">
              <w:rPr>
                <w:rFonts w:ascii="Georgia" w:hAnsi="Georgia"/>
                <w:b/>
                <w:bCs/>
                <w:color w:val="002060"/>
                <w:sz w:val="28"/>
                <w:szCs w:val="28"/>
              </w:rPr>
              <w:t xml:space="preserve">LEGGE DI BILANCIO PER IL 2021 </w:t>
            </w:r>
          </w:p>
          <w:p w14:paraId="3658EBAD" w14:textId="6112F58C" w:rsidR="0049172E" w:rsidRDefault="0049172E" w:rsidP="0049172E">
            <w:pPr>
              <w:spacing w:after="0"/>
              <w:jc w:val="center"/>
              <w:rPr>
                <w:rFonts w:ascii="Georgia" w:hAnsi="Georgia"/>
                <w:b/>
                <w:bCs/>
                <w:color w:val="002060"/>
                <w:sz w:val="28"/>
                <w:szCs w:val="28"/>
              </w:rPr>
            </w:pPr>
            <w:r>
              <w:rPr>
                <w:rFonts w:ascii="Georgia" w:hAnsi="Georgia"/>
                <w:b/>
                <w:bCs/>
                <w:color w:val="002060"/>
                <w:sz w:val="28"/>
                <w:szCs w:val="28"/>
              </w:rPr>
              <w:t>BOZZA</w:t>
            </w:r>
          </w:p>
          <w:p w14:paraId="781841BE" w14:textId="77777777" w:rsidR="0049172E" w:rsidRPr="0049172E" w:rsidRDefault="0049172E" w:rsidP="0049172E">
            <w:pPr>
              <w:spacing w:after="0"/>
              <w:jc w:val="center"/>
              <w:rPr>
                <w:rFonts w:ascii="Calibri" w:eastAsia="Times New Roman" w:hAnsi="Calibri" w:cs="Times New Roman"/>
                <w:b/>
                <w:bCs/>
                <w:color w:val="002060"/>
                <w:sz w:val="28"/>
                <w:szCs w:val="24"/>
                <w:lang w:eastAsia="it-IT"/>
              </w:rPr>
            </w:pPr>
          </w:p>
        </w:tc>
      </w:tr>
      <w:tr w:rsidR="0049172E" w:rsidRPr="0049172E" w14:paraId="2153AE0C" w14:textId="77777777" w:rsidTr="0049172E">
        <w:trPr>
          <w:trHeight w:val="1245"/>
        </w:trPr>
        <w:tc>
          <w:tcPr>
            <w:tcW w:w="9889" w:type="dxa"/>
            <w:tcBorders>
              <w:top w:val="single" w:sz="4" w:space="0" w:color="auto"/>
              <w:left w:val="nil"/>
              <w:bottom w:val="single" w:sz="8" w:space="0" w:color="4F81BD"/>
              <w:right w:val="nil"/>
            </w:tcBorders>
            <w:shd w:val="clear" w:color="auto" w:fill="D3DFEE"/>
          </w:tcPr>
          <w:p w14:paraId="6CC6515B" w14:textId="77777777" w:rsidR="0049172E" w:rsidRPr="009A066D" w:rsidRDefault="0049172E" w:rsidP="0049172E">
            <w:pPr>
              <w:spacing w:after="0"/>
              <w:jc w:val="center"/>
              <w:rPr>
                <w:rFonts w:ascii="Georgia" w:hAnsi="Georgia"/>
                <w:b/>
                <w:bCs/>
                <w:color w:val="002060"/>
                <w:sz w:val="28"/>
                <w:szCs w:val="28"/>
              </w:rPr>
            </w:pPr>
            <w:r w:rsidRPr="009A066D">
              <w:rPr>
                <w:rFonts w:ascii="Georgia" w:hAnsi="Georgia"/>
                <w:b/>
                <w:bCs/>
                <w:color w:val="002060"/>
                <w:sz w:val="28"/>
                <w:szCs w:val="28"/>
              </w:rPr>
              <w:t>LE DISPOSIZIONI PREVISTE PER LA SCUOLA</w:t>
            </w:r>
          </w:p>
          <w:p w14:paraId="247C39ED" w14:textId="06C65555" w:rsidR="0049172E" w:rsidRDefault="0049172E" w:rsidP="00B00335">
            <w:pPr>
              <w:spacing w:after="0"/>
              <w:jc w:val="center"/>
              <w:rPr>
                <w:rFonts w:ascii="Georgia" w:hAnsi="Georgia"/>
                <w:b/>
                <w:bCs/>
                <w:color w:val="002060"/>
                <w:sz w:val="28"/>
                <w:szCs w:val="28"/>
              </w:rPr>
            </w:pPr>
            <w:r w:rsidRPr="009A066D">
              <w:rPr>
                <w:rFonts w:ascii="Georgia" w:hAnsi="Georgia"/>
                <w:b/>
                <w:bCs/>
                <w:color w:val="002060"/>
                <w:sz w:val="28"/>
                <w:szCs w:val="28"/>
              </w:rPr>
              <w:t>ART. 165</w:t>
            </w:r>
          </w:p>
          <w:p w14:paraId="081DCD13" w14:textId="3BC600FD" w:rsidR="00B00335" w:rsidRDefault="00B00335" w:rsidP="00B00335">
            <w:pPr>
              <w:pBdr>
                <w:top w:val="single" w:sz="4" w:space="1" w:color="auto"/>
                <w:left w:val="single" w:sz="4" w:space="4" w:color="auto"/>
                <w:bottom w:val="single" w:sz="4" w:space="1" w:color="auto"/>
                <w:right w:val="single" w:sz="4" w:space="4" w:color="auto"/>
              </w:pBdr>
              <w:spacing w:before="240" w:line="276" w:lineRule="auto"/>
              <w:jc w:val="both"/>
              <w:rPr>
                <w:b/>
                <w:bCs/>
                <w:color w:val="002060"/>
                <w:sz w:val="24"/>
                <w:szCs w:val="24"/>
              </w:rPr>
            </w:pPr>
            <w:r w:rsidRPr="005A4FA2">
              <w:rPr>
                <w:b/>
                <w:bCs/>
                <w:color w:val="002060"/>
                <w:sz w:val="24"/>
                <w:szCs w:val="24"/>
              </w:rPr>
              <w:t>Il disegno di legge</w:t>
            </w:r>
            <w:r w:rsidR="00492ECA">
              <w:rPr>
                <w:b/>
                <w:bCs/>
                <w:color w:val="002060"/>
                <w:sz w:val="24"/>
                <w:szCs w:val="24"/>
              </w:rPr>
              <w:t xml:space="preserve">, </w:t>
            </w:r>
            <w:r w:rsidR="00492ECA" w:rsidRPr="005A4FA2">
              <w:rPr>
                <w:b/>
                <w:bCs/>
                <w:color w:val="002060"/>
                <w:sz w:val="24"/>
                <w:szCs w:val="24"/>
              </w:rPr>
              <w:t>che dovrebbe in questi giorni iniziare l’iter di approvazione alla Camera e al Senato</w:t>
            </w:r>
            <w:r w:rsidR="00492ECA">
              <w:rPr>
                <w:b/>
                <w:bCs/>
                <w:color w:val="002060"/>
                <w:sz w:val="24"/>
                <w:szCs w:val="24"/>
              </w:rPr>
              <w:t>,</w:t>
            </w:r>
            <w:r>
              <w:rPr>
                <w:b/>
                <w:bCs/>
                <w:color w:val="002060"/>
                <w:sz w:val="24"/>
                <w:szCs w:val="24"/>
              </w:rPr>
              <w:t xml:space="preserve"> </w:t>
            </w:r>
            <w:r w:rsidRPr="005A4FA2">
              <w:rPr>
                <w:b/>
                <w:bCs/>
                <w:color w:val="002060"/>
                <w:sz w:val="24"/>
                <w:szCs w:val="24"/>
              </w:rPr>
              <w:t>dovrà essere approvato in via definitiva entro la fine dell’anno, per entrare in vigore dal primo gennaio 2021 come legge dello Stato.</w:t>
            </w:r>
          </w:p>
          <w:p w14:paraId="0421D777" w14:textId="77777777" w:rsidR="0049172E" w:rsidRPr="009A066D" w:rsidRDefault="0049172E" w:rsidP="0049172E">
            <w:pPr>
              <w:spacing w:after="0"/>
              <w:jc w:val="center"/>
              <w:rPr>
                <w:rFonts w:ascii="Georgia" w:hAnsi="Georgia"/>
                <w:b/>
                <w:bCs/>
                <w:color w:val="002060"/>
                <w:sz w:val="28"/>
                <w:szCs w:val="28"/>
              </w:rPr>
            </w:pPr>
          </w:p>
        </w:tc>
      </w:tr>
    </w:tbl>
    <w:p w14:paraId="4681BC81" w14:textId="77777777" w:rsidR="009A066D" w:rsidRDefault="009A066D">
      <w:pPr>
        <w:rPr>
          <w:rFonts w:ascii="Georgia" w:hAnsi="Georgia"/>
          <w:color w:val="212529"/>
          <w:sz w:val="26"/>
          <w:szCs w:val="26"/>
          <w:shd w:val="clear" w:color="auto" w:fill="FFFFFF"/>
        </w:rPr>
      </w:pPr>
    </w:p>
    <w:p w14:paraId="23582872" w14:textId="6736AE3A" w:rsidR="009A066D" w:rsidRPr="009E4161" w:rsidRDefault="001118EB" w:rsidP="009E4161">
      <w:pPr>
        <w:shd w:val="clear" w:color="auto" w:fill="00B0F0"/>
        <w:jc w:val="center"/>
        <w:rPr>
          <w:rFonts w:ascii="Georgia" w:hAnsi="Georgia"/>
          <w:b/>
          <w:bCs/>
          <w:color w:val="002060"/>
          <w:sz w:val="28"/>
          <w:szCs w:val="28"/>
        </w:rPr>
      </w:pPr>
      <w:r w:rsidRPr="009E4161">
        <w:rPr>
          <w:rFonts w:ascii="Georgia" w:hAnsi="Georgia"/>
          <w:b/>
          <w:bCs/>
          <w:color w:val="002060"/>
          <w:sz w:val="28"/>
          <w:szCs w:val="28"/>
        </w:rPr>
        <w:t>SCHEDA DI LETTURA A CURA DELLA UIL SCUOLA</w:t>
      </w:r>
    </w:p>
    <w:p w14:paraId="5BE35DC8" w14:textId="3C919CFF" w:rsidR="009E4161" w:rsidRPr="009E4161" w:rsidRDefault="00600EE3" w:rsidP="009E4161">
      <w:pPr>
        <w:pBdr>
          <w:top w:val="single" w:sz="4" w:space="1" w:color="auto"/>
          <w:left w:val="single" w:sz="4" w:space="4" w:color="auto"/>
          <w:bottom w:val="single" w:sz="4" w:space="1" w:color="auto"/>
          <w:right w:val="single" w:sz="4" w:space="4" w:color="auto"/>
        </w:pBdr>
        <w:shd w:val="clear" w:color="auto" w:fill="FFC000"/>
        <w:spacing w:line="276" w:lineRule="auto"/>
        <w:jc w:val="center"/>
        <w:rPr>
          <w:b/>
          <w:bCs/>
          <w:color w:val="002060"/>
          <w:sz w:val="26"/>
          <w:szCs w:val="26"/>
        </w:rPr>
      </w:pPr>
      <w:r w:rsidRPr="009E4161">
        <w:rPr>
          <w:b/>
          <w:bCs/>
          <w:color w:val="002060"/>
          <w:sz w:val="26"/>
          <w:szCs w:val="26"/>
        </w:rPr>
        <w:t>I CONTENUTI PER LA SCUOLA</w:t>
      </w:r>
    </w:p>
    <w:p w14:paraId="0D8B7EE5" w14:textId="3C435E07" w:rsidR="009E4161" w:rsidRDefault="009221FE" w:rsidP="009E4161">
      <w:pPr>
        <w:pBdr>
          <w:top w:val="single" w:sz="4" w:space="1" w:color="auto"/>
          <w:left w:val="single" w:sz="4" w:space="4" w:color="auto"/>
          <w:bottom w:val="single" w:sz="4" w:space="1" w:color="auto"/>
          <w:right w:val="single" w:sz="4" w:space="4" w:color="auto"/>
        </w:pBdr>
        <w:spacing w:line="276" w:lineRule="auto"/>
        <w:jc w:val="both"/>
        <w:rPr>
          <w:b/>
          <w:bCs/>
          <w:color w:val="002060"/>
          <w:sz w:val="24"/>
          <w:szCs w:val="24"/>
        </w:rPr>
      </w:pPr>
      <w:r w:rsidRPr="005A4FA2">
        <w:rPr>
          <w:b/>
          <w:bCs/>
          <w:color w:val="002060"/>
          <w:sz w:val="24"/>
          <w:szCs w:val="24"/>
        </w:rPr>
        <w:t xml:space="preserve">Il provvedimento è stato </w:t>
      </w:r>
      <w:r w:rsidR="00600EE3">
        <w:rPr>
          <w:b/>
          <w:bCs/>
          <w:color w:val="002060"/>
          <w:sz w:val="24"/>
          <w:szCs w:val="24"/>
        </w:rPr>
        <w:t xml:space="preserve">illustrato </w:t>
      </w:r>
      <w:r w:rsidR="00FE2D7B" w:rsidRPr="005A4FA2">
        <w:rPr>
          <w:b/>
          <w:bCs/>
          <w:color w:val="002060"/>
          <w:sz w:val="24"/>
          <w:szCs w:val="24"/>
        </w:rPr>
        <w:t>alle Organizzazioni sindacali</w:t>
      </w:r>
      <w:r w:rsidR="00600EE3">
        <w:rPr>
          <w:b/>
          <w:bCs/>
          <w:color w:val="002060"/>
          <w:sz w:val="24"/>
          <w:szCs w:val="24"/>
        </w:rPr>
        <w:t xml:space="preserve"> e presentato in funzione</w:t>
      </w:r>
      <w:r w:rsidRPr="005A4FA2">
        <w:rPr>
          <w:b/>
          <w:bCs/>
          <w:color w:val="002060"/>
          <w:sz w:val="24"/>
          <w:szCs w:val="24"/>
        </w:rPr>
        <w:t xml:space="preserve"> di investimento e non come elemento di riduzione di spesa. Non si parla di tagli e si sono presentate misure di</w:t>
      </w:r>
      <w:r w:rsidR="009E4161">
        <w:rPr>
          <w:b/>
          <w:bCs/>
          <w:color w:val="002060"/>
          <w:sz w:val="24"/>
          <w:szCs w:val="24"/>
        </w:rPr>
        <w:t xml:space="preserve"> </w:t>
      </w:r>
      <w:r w:rsidRPr="005A4FA2">
        <w:rPr>
          <w:b/>
          <w:bCs/>
          <w:color w:val="002060"/>
          <w:sz w:val="24"/>
          <w:szCs w:val="24"/>
        </w:rPr>
        <w:t>finanziamento per una cifra di 2,2 miliardi per spesa corrente.</w:t>
      </w:r>
      <w:r w:rsidR="00B00335">
        <w:rPr>
          <w:b/>
          <w:bCs/>
          <w:color w:val="002060"/>
          <w:sz w:val="24"/>
          <w:szCs w:val="24"/>
        </w:rPr>
        <w:t xml:space="preserve"> </w:t>
      </w:r>
      <w:r w:rsidRPr="005A4FA2">
        <w:rPr>
          <w:b/>
          <w:bCs/>
          <w:color w:val="002060"/>
          <w:sz w:val="24"/>
          <w:szCs w:val="24"/>
        </w:rPr>
        <w:t>In particolare</w:t>
      </w:r>
      <w:r w:rsidR="00FE2D7B" w:rsidRPr="005A4FA2">
        <w:rPr>
          <w:b/>
          <w:bCs/>
          <w:color w:val="002060"/>
          <w:sz w:val="24"/>
          <w:szCs w:val="24"/>
        </w:rPr>
        <w:t>,</w:t>
      </w:r>
      <w:r w:rsidRPr="005A4FA2">
        <w:rPr>
          <w:b/>
          <w:bCs/>
          <w:color w:val="002060"/>
          <w:sz w:val="24"/>
          <w:szCs w:val="24"/>
        </w:rPr>
        <w:t xml:space="preserve"> si prevede la stabilizzazione di 25.000 posti di sostegno in O.D.,</w:t>
      </w:r>
      <w:r w:rsidR="00600EE3">
        <w:rPr>
          <w:b/>
          <w:bCs/>
          <w:color w:val="002060"/>
          <w:sz w:val="24"/>
          <w:szCs w:val="24"/>
        </w:rPr>
        <w:t xml:space="preserve"> in tre anni, </w:t>
      </w:r>
      <w:r w:rsidRPr="005A4FA2">
        <w:rPr>
          <w:b/>
          <w:bCs/>
          <w:color w:val="002060"/>
          <w:sz w:val="24"/>
          <w:szCs w:val="24"/>
        </w:rPr>
        <w:t>con l’impegno ad aumentare l’offerta universitaria di corsi per conseguire i titoli di specializzazione.</w:t>
      </w:r>
      <w:r w:rsidR="00241F70" w:rsidRPr="005A4FA2">
        <w:rPr>
          <w:b/>
          <w:bCs/>
          <w:color w:val="002060"/>
          <w:sz w:val="24"/>
          <w:szCs w:val="24"/>
        </w:rPr>
        <w:t xml:space="preserve"> </w:t>
      </w:r>
      <w:r w:rsidRPr="005A4FA2">
        <w:rPr>
          <w:b/>
          <w:bCs/>
          <w:color w:val="002060"/>
          <w:sz w:val="24"/>
          <w:szCs w:val="24"/>
        </w:rPr>
        <w:t>Si prevede la proroga dei 1</w:t>
      </w:r>
      <w:r w:rsidR="00E95BF8">
        <w:rPr>
          <w:b/>
          <w:bCs/>
          <w:color w:val="002060"/>
          <w:sz w:val="24"/>
          <w:szCs w:val="24"/>
        </w:rPr>
        <w:t>.</w:t>
      </w:r>
      <w:r w:rsidRPr="005A4FA2">
        <w:rPr>
          <w:b/>
          <w:bCs/>
          <w:color w:val="002060"/>
          <w:sz w:val="24"/>
          <w:szCs w:val="24"/>
        </w:rPr>
        <w:t>000 posti di A</w:t>
      </w:r>
      <w:r w:rsidR="00597D32">
        <w:rPr>
          <w:b/>
          <w:bCs/>
          <w:color w:val="002060"/>
          <w:sz w:val="24"/>
          <w:szCs w:val="24"/>
        </w:rPr>
        <w:t>.</w:t>
      </w:r>
      <w:r w:rsidRPr="005A4FA2">
        <w:rPr>
          <w:b/>
          <w:bCs/>
          <w:color w:val="002060"/>
          <w:sz w:val="24"/>
          <w:szCs w:val="24"/>
        </w:rPr>
        <w:t>T</w:t>
      </w:r>
      <w:r w:rsidR="00597D32">
        <w:rPr>
          <w:b/>
          <w:bCs/>
          <w:color w:val="002060"/>
          <w:sz w:val="24"/>
          <w:szCs w:val="24"/>
        </w:rPr>
        <w:t>.</w:t>
      </w:r>
      <w:r w:rsidRPr="005A4FA2">
        <w:rPr>
          <w:b/>
          <w:bCs/>
          <w:color w:val="002060"/>
          <w:sz w:val="24"/>
          <w:szCs w:val="24"/>
        </w:rPr>
        <w:t xml:space="preserve"> con l’idea di stabilizzare i posti nel settore della primaria, in modo stabile.</w:t>
      </w:r>
      <w:r w:rsidR="00241F70" w:rsidRPr="005A4FA2">
        <w:rPr>
          <w:b/>
          <w:bCs/>
          <w:color w:val="002060"/>
          <w:sz w:val="24"/>
          <w:szCs w:val="24"/>
        </w:rPr>
        <w:t xml:space="preserve"> </w:t>
      </w:r>
      <w:r w:rsidRPr="005A4FA2">
        <w:rPr>
          <w:b/>
          <w:bCs/>
          <w:color w:val="002060"/>
          <w:sz w:val="24"/>
          <w:szCs w:val="24"/>
        </w:rPr>
        <w:t>Anche per gli ex L.S.U. già transitati</w:t>
      </w:r>
      <w:r w:rsidR="009E4161">
        <w:rPr>
          <w:b/>
          <w:bCs/>
          <w:color w:val="002060"/>
          <w:sz w:val="24"/>
          <w:szCs w:val="24"/>
        </w:rPr>
        <w:t>,</w:t>
      </w:r>
      <w:r w:rsidRPr="005A4FA2">
        <w:rPr>
          <w:b/>
          <w:bCs/>
          <w:color w:val="002060"/>
          <w:sz w:val="24"/>
          <w:szCs w:val="24"/>
        </w:rPr>
        <w:t xml:space="preserve"> si prevede la proroga sino a fine anno scolastico </w:t>
      </w:r>
      <w:r w:rsidR="005E3A48">
        <w:rPr>
          <w:b/>
          <w:bCs/>
          <w:color w:val="002060"/>
          <w:sz w:val="24"/>
          <w:szCs w:val="24"/>
        </w:rPr>
        <w:t xml:space="preserve">e </w:t>
      </w:r>
      <w:r w:rsidRPr="005A4FA2">
        <w:rPr>
          <w:b/>
          <w:bCs/>
          <w:color w:val="002060"/>
          <w:sz w:val="24"/>
          <w:szCs w:val="24"/>
        </w:rPr>
        <w:t>il completamento in tempo pieno degli attuali part time con l’idea anche in questo caso di stabilizzarli in organico.</w:t>
      </w:r>
      <w:r w:rsidR="00241F70" w:rsidRPr="005A4FA2">
        <w:rPr>
          <w:b/>
          <w:bCs/>
          <w:color w:val="002060"/>
          <w:sz w:val="24"/>
          <w:szCs w:val="24"/>
        </w:rPr>
        <w:t xml:space="preserve"> </w:t>
      </w:r>
      <w:r w:rsidRPr="005A4FA2">
        <w:rPr>
          <w:b/>
          <w:bCs/>
          <w:color w:val="002060"/>
          <w:sz w:val="24"/>
          <w:szCs w:val="24"/>
        </w:rPr>
        <w:t>Si prevede di aumentare di 1</w:t>
      </w:r>
      <w:r w:rsidR="005E3A48">
        <w:rPr>
          <w:b/>
          <w:bCs/>
          <w:color w:val="002060"/>
          <w:sz w:val="24"/>
          <w:szCs w:val="24"/>
        </w:rPr>
        <w:t>.</w:t>
      </w:r>
      <w:r w:rsidRPr="005A4FA2">
        <w:rPr>
          <w:b/>
          <w:bCs/>
          <w:color w:val="002060"/>
          <w:sz w:val="24"/>
          <w:szCs w:val="24"/>
        </w:rPr>
        <w:t>000 unità i docenti per la scuola dell’infanzia statale e di incrementare la costituzione di nuovi nidi per l’infanzia sul livello comunale.</w:t>
      </w:r>
      <w:r w:rsidR="00241F70" w:rsidRPr="005A4FA2">
        <w:rPr>
          <w:b/>
          <w:bCs/>
          <w:color w:val="002060"/>
          <w:sz w:val="24"/>
          <w:szCs w:val="24"/>
        </w:rPr>
        <w:t xml:space="preserve"> </w:t>
      </w:r>
      <w:r w:rsidRPr="005A4FA2">
        <w:rPr>
          <w:b/>
          <w:bCs/>
          <w:color w:val="002060"/>
          <w:sz w:val="24"/>
          <w:szCs w:val="24"/>
        </w:rPr>
        <w:t>Sono previsti interventi finanziari per il “sistema duale” di collegamento con il mondo del lavoro, e di 20 milioni alle</w:t>
      </w:r>
      <w:r w:rsidR="00241F70" w:rsidRPr="005A4FA2">
        <w:rPr>
          <w:b/>
          <w:bCs/>
          <w:color w:val="002060"/>
          <w:sz w:val="24"/>
          <w:szCs w:val="24"/>
        </w:rPr>
        <w:t xml:space="preserve"> </w:t>
      </w:r>
      <w:r w:rsidRPr="005A4FA2">
        <w:rPr>
          <w:b/>
          <w:bCs/>
          <w:color w:val="002060"/>
          <w:sz w:val="24"/>
          <w:szCs w:val="24"/>
        </w:rPr>
        <w:t>scuol</w:t>
      </w:r>
      <w:r w:rsidR="00241F70" w:rsidRPr="005A4FA2">
        <w:rPr>
          <w:b/>
          <w:bCs/>
          <w:color w:val="002060"/>
          <w:sz w:val="24"/>
          <w:szCs w:val="24"/>
        </w:rPr>
        <w:t>e</w:t>
      </w:r>
      <w:r w:rsidRPr="005A4FA2">
        <w:rPr>
          <w:b/>
          <w:bCs/>
          <w:color w:val="002060"/>
          <w:sz w:val="24"/>
          <w:szCs w:val="24"/>
        </w:rPr>
        <w:t xml:space="preserve"> paritarie.</w:t>
      </w:r>
      <w:r w:rsidR="00241F70" w:rsidRPr="005A4FA2">
        <w:rPr>
          <w:b/>
          <w:bCs/>
          <w:color w:val="002060"/>
          <w:sz w:val="24"/>
          <w:szCs w:val="24"/>
        </w:rPr>
        <w:t xml:space="preserve"> </w:t>
      </w:r>
      <w:r w:rsidRPr="005A4FA2">
        <w:rPr>
          <w:b/>
          <w:bCs/>
          <w:color w:val="002060"/>
          <w:sz w:val="24"/>
          <w:szCs w:val="24"/>
        </w:rPr>
        <w:t>Inoltre</w:t>
      </w:r>
      <w:r w:rsidR="00241F70" w:rsidRPr="005A4FA2">
        <w:rPr>
          <w:b/>
          <w:bCs/>
          <w:color w:val="002060"/>
          <w:sz w:val="24"/>
          <w:szCs w:val="24"/>
        </w:rPr>
        <w:t>,</w:t>
      </w:r>
      <w:r w:rsidRPr="005A4FA2">
        <w:rPr>
          <w:b/>
          <w:bCs/>
          <w:color w:val="002060"/>
          <w:sz w:val="24"/>
          <w:szCs w:val="24"/>
        </w:rPr>
        <w:t xml:space="preserve"> sono previste spese per la formazione e per l’edilizia scolastica pari ad 1,5 miliardi; adeguamenti al digitale per gli uffici amministrativi; trasferimenti ai Comuni e agli ee.ll. per incrementare i trasporti.</w:t>
      </w:r>
    </w:p>
    <w:p w14:paraId="20B57A8C" w14:textId="41A3DC0C" w:rsidR="009221FE" w:rsidRPr="009E4161" w:rsidRDefault="00600EE3" w:rsidP="009E4161">
      <w:pPr>
        <w:pBdr>
          <w:top w:val="single" w:sz="4" w:space="1" w:color="auto"/>
          <w:left w:val="single" w:sz="4" w:space="4" w:color="auto"/>
          <w:bottom w:val="single" w:sz="4" w:space="1" w:color="auto"/>
          <w:right w:val="single" w:sz="4" w:space="4" w:color="auto"/>
        </w:pBdr>
        <w:shd w:val="clear" w:color="auto" w:fill="FFC000"/>
        <w:spacing w:line="276" w:lineRule="auto"/>
        <w:jc w:val="center"/>
        <w:rPr>
          <w:b/>
          <w:bCs/>
          <w:color w:val="002060"/>
          <w:sz w:val="26"/>
          <w:szCs w:val="26"/>
        </w:rPr>
      </w:pPr>
      <w:r w:rsidRPr="009E4161">
        <w:rPr>
          <w:b/>
          <w:bCs/>
          <w:color w:val="002060"/>
          <w:sz w:val="26"/>
          <w:szCs w:val="26"/>
        </w:rPr>
        <w:t>I RILIEVI E LE CONSIDERAZIONI</w:t>
      </w:r>
      <w:r w:rsidR="001118EB">
        <w:rPr>
          <w:b/>
          <w:bCs/>
          <w:color w:val="002060"/>
          <w:sz w:val="26"/>
          <w:szCs w:val="26"/>
        </w:rPr>
        <w:t xml:space="preserve"> DELLA </w:t>
      </w:r>
      <w:r w:rsidRPr="009E4161">
        <w:rPr>
          <w:b/>
          <w:bCs/>
          <w:color w:val="002060"/>
          <w:sz w:val="26"/>
          <w:szCs w:val="26"/>
        </w:rPr>
        <w:t>UIL</w:t>
      </w:r>
      <w:r w:rsidR="001118EB">
        <w:rPr>
          <w:b/>
          <w:bCs/>
          <w:color w:val="002060"/>
          <w:sz w:val="26"/>
          <w:szCs w:val="26"/>
        </w:rPr>
        <w:t xml:space="preserve"> </w:t>
      </w:r>
      <w:r w:rsidRPr="009E4161">
        <w:rPr>
          <w:b/>
          <w:bCs/>
          <w:color w:val="002060"/>
          <w:sz w:val="26"/>
          <w:szCs w:val="26"/>
        </w:rPr>
        <w:t>SCUOLA</w:t>
      </w:r>
    </w:p>
    <w:p w14:paraId="30BB68FA" w14:textId="365A0816" w:rsidR="009E4161" w:rsidRDefault="009221FE" w:rsidP="005A4FA2">
      <w:pPr>
        <w:pBdr>
          <w:top w:val="single" w:sz="4" w:space="1" w:color="auto"/>
          <w:left w:val="single" w:sz="4" w:space="4" w:color="auto"/>
          <w:bottom w:val="single" w:sz="4" w:space="1" w:color="auto"/>
          <w:right w:val="single" w:sz="4" w:space="4" w:color="auto"/>
        </w:pBdr>
        <w:spacing w:line="276" w:lineRule="auto"/>
        <w:jc w:val="both"/>
        <w:rPr>
          <w:b/>
          <w:bCs/>
          <w:color w:val="002060"/>
          <w:sz w:val="24"/>
          <w:szCs w:val="24"/>
        </w:rPr>
      </w:pPr>
      <w:r w:rsidRPr="005A4FA2">
        <w:rPr>
          <w:b/>
          <w:bCs/>
          <w:color w:val="002060"/>
          <w:sz w:val="24"/>
          <w:szCs w:val="24"/>
        </w:rPr>
        <w:t xml:space="preserve">La Uil scuola pur prendendo atto positivamente della mancanza di tagli e dell’invarianza dell’organico, </w:t>
      </w:r>
      <w:r w:rsidR="002161CE">
        <w:rPr>
          <w:b/>
          <w:bCs/>
          <w:color w:val="002060"/>
          <w:sz w:val="24"/>
          <w:szCs w:val="24"/>
        </w:rPr>
        <w:t>ritiene</w:t>
      </w:r>
      <w:r w:rsidRPr="005A4FA2">
        <w:rPr>
          <w:b/>
          <w:bCs/>
          <w:color w:val="002060"/>
          <w:sz w:val="24"/>
          <w:szCs w:val="24"/>
        </w:rPr>
        <w:t xml:space="preserve"> che si tratti di una finanziaria senza anima, senza una vera prospettiva di sistema. Una finanziaria fatta di piccoli interventi per dare risposte alle tante richieste di lobby a partire da quelle del privato.</w:t>
      </w:r>
      <w:r w:rsidR="00243ECD" w:rsidRPr="005A4FA2">
        <w:rPr>
          <w:b/>
          <w:bCs/>
          <w:color w:val="002060"/>
          <w:sz w:val="24"/>
          <w:szCs w:val="24"/>
        </w:rPr>
        <w:t xml:space="preserve"> </w:t>
      </w:r>
      <w:r w:rsidRPr="005A4FA2">
        <w:rPr>
          <w:b/>
          <w:bCs/>
          <w:color w:val="002060"/>
          <w:sz w:val="24"/>
          <w:szCs w:val="24"/>
        </w:rPr>
        <w:t>L’investimento in istruzione serve al Paese. I diritti universali sono stati sacrificati e vanno cambiate le politiche neoliberiste degli ultimi 20 anni. Questa finanziaria è solo un pallido inizio.</w:t>
      </w:r>
      <w:r w:rsidR="00243ECD" w:rsidRPr="005A4FA2">
        <w:rPr>
          <w:b/>
          <w:bCs/>
          <w:color w:val="002060"/>
          <w:sz w:val="24"/>
          <w:szCs w:val="24"/>
        </w:rPr>
        <w:t xml:space="preserve"> </w:t>
      </w:r>
      <w:r w:rsidRPr="005A4FA2">
        <w:rPr>
          <w:b/>
          <w:bCs/>
          <w:color w:val="002060"/>
          <w:sz w:val="24"/>
          <w:szCs w:val="24"/>
        </w:rPr>
        <w:t xml:space="preserve">Siamo contenti che ci sia una inversione di tendenza, </w:t>
      </w:r>
      <w:r w:rsidR="00600EE3">
        <w:rPr>
          <w:b/>
          <w:bCs/>
          <w:color w:val="002060"/>
          <w:sz w:val="24"/>
          <w:szCs w:val="24"/>
        </w:rPr>
        <w:t>ma riteniamo che sia insufficiente. N</w:t>
      </w:r>
      <w:r w:rsidRPr="005A4FA2">
        <w:rPr>
          <w:b/>
          <w:bCs/>
          <w:color w:val="002060"/>
          <w:sz w:val="24"/>
          <w:szCs w:val="24"/>
        </w:rPr>
        <w:t>on fare tagli all'organico</w:t>
      </w:r>
      <w:r w:rsidR="00600EE3">
        <w:rPr>
          <w:b/>
          <w:bCs/>
          <w:color w:val="002060"/>
          <w:sz w:val="24"/>
          <w:szCs w:val="24"/>
        </w:rPr>
        <w:t xml:space="preserve"> deve essere visto in funzione della dovuta riduzione degli alunni per classe come, viceversa</w:t>
      </w:r>
      <w:r w:rsidR="009E4161">
        <w:rPr>
          <w:b/>
          <w:bCs/>
          <w:color w:val="002060"/>
          <w:sz w:val="24"/>
          <w:szCs w:val="24"/>
        </w:rPr>
        <w:t>,</w:t>
      </w:r>
      <w:r w:rsidR="00600EE3">
        <w:rPr>
          <w:b/>
          <w:bCs/>
          <w:color w:val="002060"/>
          <w:sz w:val="24"/>
          <w:szCs w:val="24"/>
        </w:rPr>
        <w:t xml:space="preserve"> viene a</w:t>
      </w:r>
      <w:r w:rsidRPr="005A4FA2">
        <w:rPr>
          <w:b/>
          <w:bCs/>
          <w:color w:val="002060"/>
          <w:sz w:val="24"/>
          <w:szCs w:val="24"/>
        </w:rPr>
        <w:t xml:space="preserve"> manca</w:t>
      </w:r>
      <w:r w:rsidR="00600EE3">
        <w:rPr>
          <w:b/>
          <w:bCs/>
          <w:color w:val="002060"/>
          <w:sz w:val="24"/>
          <w:szCs w:val="24"/>
        </w:rPr>
        <w:t>re</w:t>
      </w:r>
      <w:r w:rsidRPr="005A4FA2">
        <w:rPr>
          <w:b/>
          <w:bCs/>
          <w:color w:val="002060"/>
          <w:sz w:val="24"/>
          <w:szCs w:val="24"/>
        </w:rPr>
        <w:t xml:space="preserve"> una visione e una prospettiva di più ampio respiro</w:t>
      </w:r>
      <w:r w:rsidR="00600EE3">
        <w:rPr>
          <w:b/>
          <w:bCs/>
          <w:color w:val="002060"/>
          <w:sz w:val="24"/>
          <w:szCs w:val="24"/>
        </w:rPr>
        <w:t xml:space="preserve"> che serve a superare anche l’emergenza in atto</w:t>
      </w:r>
      <w:r w:rsidRPr="005A4FA2">
        <w:rPr>
          <w:b/>
          <w:bCs/>
          <w:color w:val="002060"/>
          <w:sz w:val="24"/>
          <w:szCs w:val="24"/>
        </w:rPr>
        <w:t xml:space="preserve">. </w:t>
      </w:r>
      <w:r w:rsidR="00243ECD" w:rsidRPr="005A4FA2">
        <w:rPr>
          <w:b/>
          <w:bCs/>
          <w:color w:val="002060"/>
          <w:sz w:val="24"/>
          <w:szCs w:val="24"/>
        </w:rPr>
        <w:t xml:space="preserve"> </w:t>
      </w:r>
      <w:r w:rsidRPr="005A4FA2">
        <w:rPr>
          <w:b/>
          <w:bCs/>
          <w:color w:val="002060"/>
          <w:sz w:val="24"/>
          <w:szCs w:val="24"/>
        </w:rPr>
        <w:t xml:space="preserve">Serve più coraggio per una totale inversione delle politiche seguite negli ultimi venti anni caratterizzate da tagli, politiche neoliberiste di contenimento della spesa. Questa finanziaria nel dare po’ a tutti non appare </w:t>
      </w:r>
      <w:r w:rsidRPr="005A4FA2">
        <w:rPr>
          <w:b/>
          <w:bCs/>
          <w:color w:val="002060"/>
          <w:sz w:val="24"/>
          <w:szCs w:val="24"/>
        </w:rPr>
        <w:lastRenderedPageBreak/>
        <w:t>idonea specie se serve a dare meno alla scuola. Bisogna cambiare l’ordine delle scelte e pensare alla scuola statale costituzionale di questo paese.</w:t>
      </w:r>
      <w:r w:rsidR="00243ECD" w:rsidRPr="005A4FA2">
        <w:rPr>
          <w:b/>
          <w:bCs/>
          <w:color w:val="002060"/>
          <w:sz w:val="24"/>
          <w:szCs w:val="24"/>
        </w:rPr>
        <w:t xml:space="preserve"> </w:t>
      </w:r>
      <w:r w:rsidR="00600EE3">
        <w:rPr>
          <w:b/>
          <w:bCs/>
          <w:color w:val="002060"/>
          <w:sz w:val="24"/>
          <w:szCs w:val="24"/>
        </w:rPr>
        <w:t>Serve anche che le misure siano accelerate e non si possono spalmare in più anni</w:t>
      </w:r>
      <w:r w:rsidR="009E4161">
        <w:rPr>
          <w:b/>
          <w:bCs/>
          <w:color w:val="002060"/>
          <w:sz w:val="24"/>
          <w:szCs w:val="24"/>
        </w:rPr>
        <w:t>, considerato che</w:t>
      </w:r>
      <w:r w:rsidR="00600EE3">
        <w:rPr>
          <w:b/>
          <w:bCs/>
          <w:color w:val="002060"/>
          <w:sz w:val="24"/>
          <w:szCs w:val="24"/>
        </w:rPr>
        <w:t xml:space="preserve"> la legge di bilancio è annuale e</w:t>
      </w:r>
      <w:r w:rsidR="009E4161">
        <w:rPr>
          <w:b/>
          <w:bCs/>
          <w:color w:val="002060"/>
          <w:sz w:val="24"/>
          <w:szCs w:val="24"/>
        </w:rPr>
        <w:t xml:space="preserve"> </w:t>
      </w:r>
      <w:r w:rsidR="00600EE3">
        <w:rPr>
          <w:b/>
          <w:bCs/>
          <w:color w:val="002060"/>
          <w:sz w:val="24"/>
          <w:szCs w:val="24"/>
        </w:rPr>
        <w:t>non può garantire che gli interventi negli anni successivi.</w:t>
      </w:r>
    </w:p>
    <w:p w14:paraId="4EF9A0F7" w14:textId="05F20521" w:rsidR="00243ECD" w:rsidRPr="009E4161" w:rsidRDefault="00600EE3" w:rsidP="009E4161">
      <w:pPr>
        <w:pBdr>
          <w:top w:val="single" w:sz="4" w:space="1" w:color="auto"/>
          <w:left w:val="single" w:sz="4" w:space="4" w:color="auto"/>
          <w:bottom w:val="single" w:sz="4" w:space="1" w:color="auto"/>
          <w:right w:val="single" w:sz="4" w:space="4" w:color="auto"/>
        </w:pBdr>
        <w:shd w:val="clear" w:color="auto" w:fill="FFC000"/>
        <w:spacing w:line="276" w:lineRule="auto"/>
        <w:jc w:val="center"/>
        <w:rPr>
          <w:b/>
          <w:bCs/>
          <w:color w:val="002060"/>
          <w:sz w:val="26"/>
          <w:szCs w:val="26"/>
        </w:rPr>
      </w:pPr>
      <w:r w:rsidRPr="009E4161">
        <w:rPr>
          <w:b/>
          <w:bCs/>
          <w:color w:val="002060"/>
          <w:sz w:val="26"/>
          <w:szCs w:val="26"/>
        </w:rPr>
        <w:t>PROSPETTIVE E PROPOSTE</w:t>
      </w:r>
    </w:p>
    <w:p w14:paraId="1A98BB73" w14:textId="25D391BF" w:rsidR="009221FE" w:rsidRPr="005A4FA2" w:rsidRDefault="009221FE" w:rsidP="005A4FA2">
      <w:pPr>
        <w:pBdr>
          <w:top w:val="single" w:sz="4" w:space="1" w:color="auto"/>
          <w:left w:val="single" w:sz="4" w:space="4" w:color="auto"/>
          <w:bottom w:val="single" w:sz="4" w:space="1" w:color="auto"/>
          <w:right w:val="single" w:sz="4" w:space="4" w:color="auto"/>
        </w:pBdr>
        <w:spacing w:line="276" w:lineRule="auto"/>
        <w:jc w:val="both"/>
        <w:rPr>
          <w:b/>
          <w:bCs/>
          <w:color w:val="002060"/>
          <w:sz w:val="24"/>
          <w:szCs w:val="24"/>
        </w:rPr>
      </w:pPr>
      <w:r w:rsidRPr="005A4FA2">
        <w:rPr>
          <w:b/>
          <w:bCs/>
          <w:color w:val="002060"/>
          <w:sz w:val="24"/>
          <w:szCs w:val="24"/>
        </w:rPr>
        <w:t xml:space="preserve">Oggi abbiamo una grande difficoltà nelle scuole, si è già perso già un anno, nessuno di noi poteva prevedere la situazione attuale. Bisogna quindi attivare strumenti straordinari per superare l’emergenza. </w:t>
      </w:r>
      <w:r w:rsidR="00243ECD" w:rsidRPr="005A4FA2">
        <w:rPr>
          <w:b/>
          <w:bCs/>
          <w:color w:val="002060"/>
          <w:sz w:val="24"/>
          <w:szCs w:val="24"/>
        </w:rPr>
        <w:t xml:space="preserve"> </w:t>
      </w:r>
      <w:r w:rsidRPr="005A4FA2">
        <w:rPr>
          <w:b/>
          <w:bCs/>
          <w:color w:val="002060"/>
          <w:sz w:val="24"/>
          <w:szCs w:val="24"/>
        </w:rPr>
        <w:t>Non si può perdere un altro anno, bisogna mettere in sicurezza non solo gli organici ma anche chi deve coprire l’organico</w:t>
      </w:r>
      <w:r w:rsidR="00046273">
        <w:rPr>
          <w:b/>
          <w:bCs/>
          <w:color w:val="002060"/>
          <w:sz w:val="24"/>
          <w:szCs w:val="24"/>
        </w:rPr>
        <w:t xml:space="preserve">: il personale per il quale serve stabilità e certezza sia professionale che </w:t>
      </w:r>
      <w:r w:rsidR="009E4161">
        <w:rPr>
          <w:b/>
          <w:bCs/>
          <w:color w:val="002060"/>
          <w:sz w:val="24"/>
          <w:szCs w:val="24"/>
        </w:rPr>
        <w:t xml:space="preserve">di </w:t>
      </w:r>
      <w:r w:rsidR="00046273">
        <w:rPr>
          <w:b/>
          <w:bCs/>
          <w:color w:val="002060"/>
          <w:sz w:val="24"/>
          <w:szCs w:val="24"/>
        </w:rPr>
        <w:t>sicurezza sanitaria, già da settembre prossimo</w:t>
      </w:r>
      <w:r w:rsidRPr="005A4FA2">
        <w:rPr>
          <w:b/>
          <w:bCs/>
          <w:color w:val="002060"/>
          <w:sz w:val="24"/>
          <w:szCs w:val="24"/>
        </w:rPr>
        <w:t>. Siamo di fronte al fallimento del sistema concorsuale per il reclutamento e alla palese contraddizione di non trovare docenti neanche per le supplenze</w:t>
      </w:r>
      <w:r w:rsidR="00243ECD" w:rsidRPr="005A4FA2">
        <w:rPr>
          <w:b/>
          <w:bCs/>
          <w:color w:val="002060"/>
          <w:sz w:val="24"/>
          <w:szCs w:val="24"/>
        </w:rPr>
        <w:t>.</w:t>
      </w:r>
    </w:p>
    <w:p w14:paraId="2E5648C1" w14:textId="77777777" w:rsidR="009E4161" w:rsidRDefault="009221FE" w:rsidP="005A4FA2">
      <w:pPr>
        <w:pBdr>
          <w:top w:val="single" w:sz="4" w:space="1" w:color="auto"/>
          <w:left w:val="single" w:sz="4" w:space="4" w:color="auto"/>
          <w:bottom w:val="single" w:sz="4" w:space="1" w:color="auto"/>
          <w:right w:val="single" w:sz="4" w:space="4" w:color="auto"/>
        </w:pBdr>
        <w:spacing w:line="276" w:lineRule="auto"/>
        <w:jc w:val="both"/>
        <w:rPr>
          <w:b/>
          <w:bCs/>
          <w:color w:val="002060"/>
          <w:sz w:val="24"/>
          <w:szCs w:val="24"/>
        </w:rPr>
      </w:pPr>
      <w:r w:rsidRPr="005A4FA2">
        <w:rPr>
          <w:b/>
          <w:bCs/>
          <w:color w:val="002060"/>
          <w:sz w:val="24"/>
          <w:szCs w:val="24"/>
        </w:rPr>
        <w:t xml:space="preserve">La proposta </w:t>
      </w:r>
      <w:r w:rsidR="005E09F8">
        <w:rPr>
          <w:b/>
          <w:bCs/>
          <w:color w:val="002060"/>
          <w:sz w:val="24"/>
          <w:szCs w:val="24"/>
        </w:rPr>
        <w:t xml:space="preserve">della UIL scuola </w:t>
      </w:r>
      <w:r w:rsidRPr="005A4FA2">
        <w:rPr>
          <w:b/>
          <w:bCs/>
          <w:color w:val="002060"/>
          <w:sz w:val="24"/>
          <w:szCs w:val="24"/>
        </w:rPr>
        <w:t xml:space="preserve">è che </w:t>
      </w:r>
      <w:r w:rsidR="00046273">
        <w:rPr>
          <w:b/>
          <w:bCs/>
          <w:color w:val="002060"/>
          <w:sz w:val="24"/>
          <w:szCs w:val="24"/>
        </w:rPr>
        <w:t>serve un piano che parta dal</w:t>
      </w:r>
      <w:r w:rsidRPr="005A4FA2">
        <w:rPr>
          <w:b/>
          <w:bCs/>
          <w:color w:val="002060"/>
          <w:sz w:val="24"/>
          <w:szCs w:val="24"/>
        </w:rPr>
        <w:t xml:space="preserve">l’organico stabilizzato su base pluriennale </w:t>
      </w:r>
      <w:r w:rsidR="00046273">
        <w:rPr>
          <w:b/>
          <w:bCs/>
          <w:color w:val="002060"/>
          <w:sz w:val="24"/>
          <w:szCs w:val="24"/>
        </w:rPr>
        <w:t>(tre anni) in modo da attivare una politica del reclutamento su un periodo più ampio di quello annuale. In questa maniera si può procedere alla</w:t>
      </w:r>
      <w:r w:rsidRPr="005A4FA2">
        <w:rPr>
          <w:b/>
          <w:bCs/>
          <w:color w:val="002060"/>
          <w:sz w:val="24"/>
          <w:szCs w:val="24"/>
        </w:rPr>
        <w:t xml:space="preserve"> stabilizza</w:t>
      </w:r>
      <w:r w:rsidR="00046273">
        <w:rPr>
          <w:b/>
          <w:bCs/>
          <w:color w:val="002060"/>
          <w:sz w:val="24"/>
          <w:szCs w:val="24"/>
        </w:rPr>
        <w:t xml:space="preserve">zione </w:t>
      </w:r>
      <w:r w:rsidRPr="005A4FA2">
        <w:rPr>
          <w:b/>
          <w:bCs/>
          <w:color w:val="002060"/>
          <w:sz w:val="24"/>
          <w:szCs w:val="24"/>
        </w:rPr>
        <w:t xml:space="preserve">per più anni, </w:t>
      </w:r>
      <w:r w:rsidR="00046273">
        <w:rPr>
          <w:b/>
          <w:bCs/>
          <w:color w:val="002060"/>
          <w:sz w:val="24"/>
          <w:szCs w:val="24"/>
        </w:rPr>
        <w:t xml:space="preserve">a partire da </w:t>
      </w:r>
      <w:r w:rsidRPr="005A4FA2">
        <w:rPr>
          <w:b/>
          <w:bCs/>
          <w:color w:val="002060"/>
          <w:sz w:val="24"/>
          <w:szCs w:val="24"/>
        </w:rPr>
        <w:t>contratti a tempo determinato ma pluriennali</w:t>
      </w:r>
      <w:r w:rsidR="00046273">
        <w:rPr>
          <w:b/>
          <w:bCs/>
          <w:color w:val="002060"/>
          <w:sz w:val="24"/>
          <w:szCs w:val="24"/>
        </w:rPr>
        <w:t xml:space="preserve"> </w:t>
      </w:r>
      <w:r w:rsidR="009E4161">
        <w:rPr>
          <w:b/>
          <w:bCs/>
          <w:color w:val="002060"/>
          <w:sz w:val="24"/>
          <w:szCs w:val="24"/>
        </w:rPr>
        <w:t>(</w:t>
      </w:r>
      <w:r w:rsidR="00046273">
        <w:rPr>
          <w:b/>
          <w:bCs/>
          <w:color w:val="002060"/>
          <w:sz w:val="24"/>
          <w:szCs w:val="24"/>
        </w:rPr>
        <w:t xml:space="preserve">bisogna eliminare il balletto inverecondo delle supplenze). </w:t>
      </w:r>
    </w:p>
    <w:p w14:paraId="765ABFA6" w14:textId="77777777" w:rsidR="009E4161" w:rsidRDefault="009221FE" w:rsidP="005A4FA2">
      <w:pPr>
        <w:pBdr>
          <w:top w:val="single" w:sz="4" w:space="1" w:color="auto"/>
          <w:left w:val="single" w:sz="4" w:space="4" w:color="auto"/>
          <w:bottom w:val="single" w:sz="4" w:space="1" w:color="auto"/>
          <w:right w:val="single" w:sz="4" w:space="4" w:color="auto"/>
        </w:pBdr>
        <w:spacing w:line="276" w:lineRule="auto"/>
        <w:jc w:val="both"/>
        <w:rPr>
          <w:b/>
          <w:bCs/>
          <w:color w:val="002060"/>
          <w:sz w:val="24"/>
          <w:szCs w:val="24"/>
        </w:rPr>
      </w:pPr>
      <w:r w:rsidRPr="005A4FA2">
        <w:rPr>
          <w:b/>
          <w:bCs/>
          <w:color w:val="002060"/>
          <w:sz w:val="24"/>
          <w:szCs w:val="24"/>
        </w:rPr>
        <w:t>Bisogna che il MEF esca dagli schemi culturali e politici che l’hanno contraddistinto in questi anni.</w:t>
      </w:r>
      <w:r w:rsidR="00243ECD" w:rsidRPr="005A4FA2">
        <w:rPr>
          <w:b/>
          <w:bCs/>
          <w:color w:val="002060"/>
          <w:sz w:val="24"/>
          <w:szCs w:val="24"/>
        </w:rPr>
        <w:t xml:space="preserve"> </w:t>
      </w:r>
      <w:r w:rsidRPr="005A4FA2">
        <w:rPr>
          <w:b/>
          <w:bCs/>
          <w:color w:val="002060"/>
          <w:sz w:val="24"/>
          <w:szCs w:val="24"/>
        </w:rPr>
        <w:t>L’investimento strategico è quello di eliminare il doppio organico, di fatto e di diritto, solo così si potrà evitare il lievitare continu</w:t>
      </w:r>
      <w:r w:rsidR="00FC2900">
        <w:rPr>
          <w:b/>
          <w:bCs/>
          <w:color w:val="002060"/>
          <w:sz w:val="24"/>
          <w:szCs w:val="24"/>
        </w:rPr>
        <w:t>o</w:t>
      </w:r>
      <w:r w:rsidRPr="005A4FA2">
        <w:rPr>
          <w:b/>
          <w:bCs/>
          <w:color w:val="002060"/>
          <w:sz w:val="24"/>
          <w:szCs w:val="24"/>
        </w:rPr>
        <w:t xml:space="preserve"> di precariato</w:t>
      </w:r>
      <w:r w:rsidR="00046273">
        <w:rPr>
          <w:b/>
          <w:bCs/>
          <w:color w:val="002060"/>
          <w:sz w:val="24"/>
          <w:szCs w:val="24"/>
        </w:rPr>
        <w:t xml:space="preserve"> con </w:t>
      </w:r>
      <w:r w:rsidRPr="005A4FA2">
        <w:rPr>
          <w:b/>
          <w:bCs/>
          <w:color w:val="002060"/>
          <w:sz w:val="24"/>
          <w:szCs w:val="24"/>
        </w:rPr>
        <w:t>la trasformazione in un unico organico tra diritto e fatto su base pluriennale</w:t>
      </w:r>
      <w:r w:rsidR="00046273">
        <w:rPr>
          <w:b/>
          <w:bCs/>
          <w:color w:val="002060"/>
          <w:sz w:val="24"/>
          <w:szCs w:val="24"/>
        </w:rPr>
        <w:t>, con stabilità triennale</w:t>
      </w:r>
      <w:r w:rsidRPr="005A4FA2">
        <w:rPr>
          <w:b/>
          <w:bCs/>
          <w:color w:val="002060"/>
          <w:sz w:val="24"/>
          <w:szCs w:val="24"/>
        </w:rPr>
        <w:t>.</w:t>
      </w:r>
      <w:r w:rsidR="00046273">
        <w:rPr>
          <w:b/>
          <w:bCs/>
          <w:color w:val="002060"/>
          <w:sz w:val="24"/>
          <w:szCs w:val="24"/>
        </w:rPr>
        <w:t xml:space="preserve"> Si potrebbe ritornare anche al reclutamento per percorsi FIT che è stato sostituito dal sistema dei concorsi che così come sono pensati non sono in grado di rispondere alle esigenze della scuola molto specifiche rispetto ad ogni altro comparto pubblico e privato. </w:t>
      </w:r>
    </w:p>
    <w:p w14:paraId="37D29CD3" w14:textId="12774A2E" w:rsidR="009221FE" w:rsidRPr="005A4FA2" w:rsidRDefault="00046273" w:rsidP="005A4FA2">
      <w:pPr>
        <w:pBdr>
          <w:top w:val="single" w:sz="4" w:space="1" w:color="auto"/>
          <w:left w:val="single" w:sz="4" w:space="4" w:color="auto"/>
          <w:bottom w:val="single" w:sz="4" w:space="1" w:color="auto"/>
          <w:right w:val="single" w:sz="4" w:space="4" w:color="auto"/>
        </w:pBdr>
        <w:spacing w:line="276" w:lineRule="auto"/>
        <w:jc w:val="both"/>
        <w:rPr>
          <w:b/>
          <w:bCs/>
          <w:color w:val="002060"/>
          <w:sz w:val="24"/>
          <w:szCs w:val="24"/>
        </w:rPr>
      </w:pPr>
      <w:r>
        <w:rPr>
          <w:b/>
          <w:bCs/>
          <w:color w:val="002060"/>
          <w:sz w:val="24"/>
          <w:szCs w:val="24"/>
        </w:rPr>
        <w:t>In questo quadro,</w:t>
      </w:r>
      <w:r w:rsidR="009221FE" w:rsidRPr="005A4FA2">
        <w:rPr>
          <w:b/>
          <w:bCs/>
          <w:color w:val="002060"/>
          <w:sz w:val="24"/>
          <w:szCs w:val="24"/>
        </w:rPr>
        <w:t xml:space="preserve"> va finanziato adeguatamente il capitolo del rinnovo dei contratti di lavoro che rappresenta il</w:t>
      </w:r>
      <w:r w:rsidR="00243ECD" w:rsidRPr="005A4FA2">
        <w:rPr>
          <w:b/>
          <w:bCs/>
          <w:color w:val="002060"/>
          <w:sz w:val="24"/>
          <w:szCs w:val="24"/>
        </w:rPr>
        <w:t xml:space="preserve"> </w:t>
      </w:r>
      <w:r w:rsidR="009221FE" w:rsidRPr="005A4FA2">
        <w:rPr>
          <w:b/>
          <w:bCs/>
          <w:color w:val="002060"/>
          <w:sz w:val="24"/>
          <w:szCs w:val="24"/>
        </w:rPr>
        <w:t>riconoscimento e la dignità dei lavoratori, in un’ottica di vero investimento sul sistema scolastico. Nel settore il vero investimento è sulle persone e non sulle cose.</w:t>
      </w:r>
      <w:r>
        <w:rPr>
          <w:b/>
          <w:bCs/>
          <w:color w:val="002060"/>
          <w:sz w:val="24"/>
          <w:szCs w:val="24"/>
        </w:rPr>
        <w:t xml:space="preserve"> La </w:t>
      </w:r>
      <w:r w:rsidR="00E95B7E">
        <w:rPr>
          <w:b/>
          <w:bCs/>
          <w:color w:val="002060"/>
          <w:sz w:val="24"/>
          <w:szCs w:val="24"/>
        </w:rPr>
        <w:t>finanziaria</w:t>
      </w:r>
      <w:r>
        <w:rPr>
          <w:b/>
          <w:bCs/>
          <w:color w:val="002060"/>
          <w:sz w:val="24"/>
          <w:szCs w:val="24"/>
        </w:rPr>
        <w:t xml:space="preserve"> su questo mostra risolse totalmente insufficienti</w:t>
      </w:r>
      <w:r w:rsidR="009E4161">
        <w:rPr>
          <w:b/>
          <w:bCs/>
          <w:color w:val="002060"/>
          <w:sz w:val="24"/>
          <w:szCs w:val="24"/>
        </w:rPr>
        <w:t>.</w:t>
      </w:r>
    </w:p>
    <w:p w14:paraId="73EF9176" w14:textId="77777777" w:rsidR="009E4161" w:rsidRDefault="009221FE" w:rsidP="005A4FA2">
      <w:pPr>
        <w:pBdr>
          <w:top w:val="single" w:sz="4" w:space="1" w:color="auto"/>
          <w:left w:val="single" w:sz="4" w:space="4" w:color="auto"/>
          <w:bottom w:val="single" w:sz="4" w:space="1" w:color="auto"/>
          <w:right w:val="single" w:sz="4" w:space="4" w:color="auto"/>
        </w:pBdr>
        <w:spacing w:line="276" w:lineRule="auto"/>
        <w:jc w:val="both"/>
        <w:rPr>
          <w:b/>
          <w:bCs/>
          <w:color w:val="002060"/>
          <w:sz w:val="24"/>
          <w:szCs w:val="24"/>
        </w:rPr>
      </w:pPr>
      <w:r w:rsidRPr="005A4FA2">
        <w:rPr>
          <w:b/>
          <w:bCs/>
          <w:color w:val="002060"/>
          <w:sz w:val="24"/>
          <w:szCs w:val="24"/>
        </w:rPr>
        <w:t xml:space="preserve">Anche in questo caso, il ministero </w:t>
      </w:r>
      <w:r w:rsidR="00E95B7E">
        <w:rPr>
          <w:b/>
          <w:bCs/>
          <w:color w:val="002060"/>
          <w:sz w:val="24"/>
          <w:szCs w:val="24"/>
        </w:rPr>
        <w:t xml:space="preserve">così </w:t>
      </w:r>
      <w:r w:rsidRPr="005A4FA2">
        <w:rPr>
          <w:b/>
          <w:bCs/>
          <w:color w:val="002060"/>
          <w:sz w:val="24"/>
          <w:szCs w:val="24"/>
        </w:rPr>
        <w:t xml:space="preserve">come </w:t>
      </w:r>
      <w:r w:rsidR="00E95B7E">
        <w:rPr>
          <w:b/>
          <w:bCs/>
          <w:color w:val="002060"/>
          <w:sz w:val="24"/>
          <w:szCs w:val="24"/>
        </w:rPr>
        <w:t xml:space="preserve">ha fatto </w:t>
      </w:r>
      <w:r w:rsidRPr="005A4FA2">
        <w:rPr>
          <w:b/>
          <w:bCs/>
          <w:color w:val="002060"/>
          <w:sz w:val="24"/>
          <w:szCs w:val="24"/>
        </w:rPr>
        <w:t>fino ad oggi</w:t>
      </w:r>
      <w:r w:rsidR="00E95B7E">
        <w:rPr>
          <w:b/>
          <w:bCs/>
          <w:color w:val="002060"/>
          <w:sz w:val="24"/>
          <w:szCs w:val="24"/>
        </w:rPr>
        <w:t>,</w:t>
      </w:r>
      <w:r w:rsidRPr="005A4FA2">
        <w:rPr>
          <w:b/>
          <w:bCs/>
          <w:color w:val="002060"/>
          <w:sz w:val="24"/>
          <w:szCs w:val="24"/>
        </w:rPr>
        <w:t xml:space="preserve"> ha agito in solitudine</w:t>
      </w:r>
      <w:r w:rsidR="00C864A1">
        <w:rPr>
          <w:b/>
          <w:bCs/>
          <w:color w:val="002060"/>
          <w:sz w:val="24"/>
          <w:szCs w:val="24"/>
        </w:rPr>
        <w:t>.</w:t>
      </w:r>
      <w:r w:rsidRPr="005A4FA2">
        <w:rPr>
          <w:b/>
          <w:bCs/>
          <w:color w:val="002060"/>
          <w:sz w:val="24"/>
          <w:szCs w:val="24"/>
        </w:rPr>
        <w:t xml:space="preserve"> </w:t>
      </w:r>
      <w:r w:rsidR="00E95B7E">
        <w:rPr>
          <w:b/>
          <w:bCs/>
          <w:color w:val="002060"/>
          <w:sz w:val="24"/>
          <w:szCs w:val="24"/>
        </w:rPr>
        <w:t xml:space="preserve">Noi ci auguriamo una nuova stagione di dialogo e di confronto, su queste basi, </w:t>
      </w:r>
      <w:r w:rsidRPr="005A4FA2">
        <w:rPr>
          <w:b/>
          <w:bCs/>
          <w:color w:val="002060"/>
          <w:sz w:val="24"/>
          <w:szCs w:val="24"/>
        </w:rPr>
        <w:t>la UIL scuola</w:t>
      </w:r>
      <w:r w:rsidR="005A4FA2" w:rsidRPr="005A4FA2">
        <w:rPr>
          <w:b/>
          <w:bCs/>
          <w:color w:val="002060"/>
          <w:sz w:val="24"/>
          <w:szCs w:val="24"/>
        </w:rPr>
        <w:t>,</w:t>
      </w:r>
      <w:r w:rsidR="00E95B7E">
        <w:rPr>
          <w:b/>
          <w:bCs/>
          <w:color w:val="002060"/>
          <w:sz w:val="24"/>
          <w:szCs w:val="24"/>
        </w:rPr>
        <w:t xml:space="preserve"> ribadisce </w:t>
      </w:r>
      <w:r w:rsidR="009E4161">
        <w:rPr>
          <w:b/>
          <w:bCs/>
          <w:color w:val="002060"/>
          <w:sz w:val="24"/>
          <w:szCs w:val="24"/>
        </w:rPr>
        <w:t>l</w:t>
      </w:r>
      <w:r w:rsidR="00E95B7E">
        <w:rPr>
          <w:b/>
          <w:bCs/>
          <w:color w:val="002060"/>
          <w:sz w:val="24"/>
          <w:szCs w:val="24"/>
        </w:rPr>
        <w:t>a sua disponibilità</w:t>
      </w:r>
      <w:r w:rsidRPr="005A4FA2">
        <w:rPr>
          <w:b/>
          <w:bCs/>
          <w:color w:val="002060"/>
          <w:sz w:val="24"/>
          <w:szCs w:val="24"/>
        </w:rPr>
        <w:t xml:space="preserve"> a collaborare in termini di proposte e programmi condivisi, ma</w:t>
      </w:r>
      <w:r w:rsidR="00E95B7E">
        <w:rPr>
          <w:b/>
          <w:bCs/>
          <w:color w:val="002060"/>
          <w:sz w:val="24"/>
          <w:szCs w:val="24"/>
        </w:rPr>
        <w:t xml:space="preserve"> con reciprocità </w:t>
      </w:r>
      <w:r w:rsidRPr="005A4FA2">
        <w:rPr>
          <w:b/>
          <w:bCs/>
          <w:color w:val="002060"/>
          <w:sz w:val="24"/>
          <w:szCs w:val="24"/>
        </w:rPr>
        <w:t>che ci sia un vero confronto di merito, che possa essere diretto e chiaro, e che fino ad ora è stato teso a dividere piuttosto che a unire.</w:t>
      </w:r>
    </w:p>
    <w:p w14:paraId="25D71ECC" w14:textId="15EDA088" w:rsidR="009221FE" w:rsidRPr="005A4FA2" w:rsidRDefault="00E95B7E" w:rsidP="005A4FA2">
      <w:pPr>
        <w:pBdr>
          <w:top w:val="single" w:sz="4" w:space="1" w:color="auto"/>
          <w:left w:val="single" w:sz="4" w:space="4" w:color="auto"/>
          <w:bottom w:val="single" w:sz="4" w:space="1" w:color="auto"/>
          <w:right w:val="single" w:sz="4" w:space="4" w:color="auto"/>
        </w:pBdr>
        <w:spacing w:line="276" w:lineRule="auto"/>
        <w:jc w:val="both"/>
        <w:rPr>
          <w:b/>
          <w:bCs/>
          <w:color w:val="002060"/>
          <w:sz w:val="24"/>
          <w:szCs w:val="24"/>
        </w:rPr>
      </w:pPr>
      <w:r>
        <w:rPr>
          <w:b/>
          <w:bCs/>
          <w:color w:val="002060"/>
          <w:sz w:val="24"/>
          <w:szCs w:val="24"/>
        </w:rPr>
        <w:t>Da ultimo il CCNI sulla DAD con un accordo separato che l’amministrazione avrebbe dovuto evitare, invece lo ha favorito</w:t>
      </w:r>
      <w:r w:rsidR="009E4161">
        <w:rPr>
          <w:b/>
          <w:bCs/>
          <w:color w:val="002060"/>
          <w:sz w:val="24"/>
          <w:szCs w:val="24"/>
        </w:rPr>
        <w:t>.</w:t>
      </w:r>
    </w:p>
    <w:p w14:paraId="539A86B2" w14:textId="58342C6A" w:rsidR="00335E5D" w:rsidRPr="005A4FA2" w:rsidRDefault="009221FE" w:rsidP="005A4FA2">
      <w:pPr>
        <w:pBdr>
          <w:top w:val="single" w:sz="4" w:space="1" w:color="auto"/>
          <w:left w:val="single" w:sz="4" w:space="4" w:color="auto"/>
          <w:bottom w:val="single" w:sz="4" w:space="1" w:color="auto"/>
          <w:right w:val="single" w:sz="4" w:space="4" w:color="auto"/>
        </w:pBdr>
        <w:spacing w:line="276" w:lineRule="auto"/>
        <w:jc w:val="both"/>
        <w:rPr>
          <w:b/>
          <w:bCs/>
          <w:color w:val="002060"/>
          <w:sz w:val="24"/>
          <w:szCs w:val="24"/>
        </w:rPr>
      </w:pPr>
      <w:r w:rsidRPr="005A4FA2">
        <w:rPr>
          <w:b/>
          <w:bCs/>
          <w:color w:val="002060"/>
          <w:sz w:val="24"/>
          <w:szCs w:val="24"/>
        </w:rPr>
        <w:t>Da questa difficile situazione si esce insieme e la collaborazione del personale è cruciale</w:t>
      </w:r>
      <w:r w:rsidR="00C864A1">
        <w:rPr>
          <w:b/>
          <w:bCs/>
          <w:color w:val="002060"/>
          <w:sz w:val="24"/>
          <w:szCs w:val="24"/>
        </w:rPr>
        <w:t>,</w:t>
      </w:r>
      <w:r w:rsidRPr="005A4FA2">
        <w:rPr>
          <w:b/>
          <w:bCs/>
          <w:color w:val="002060"/>
          <w:sz w:val="24"/>
          <w:szCs w:val="24"/>
        </w:rPr>
        <w:t xml:space="preserve"> per questo va coinvolto e bisogna che si senta parte di un gra</w:t>
      </w:r>
      <w:r w:rsidR="009E4161">
        <w:rPr>
          <w:b/>
          <w:bCs/>
          <w:color w:val="002060"/>
          <w:sz w:val="24"/>
          <w:szCs w:val="24"/>
        </w:rPr>
        <w:t>n</w:t>
      </w:r>
      <w:r w:rsidRPr="005A4FA2">
        <w:rPr>
          <w:b/>
          <w:bCs/>
          <w:color w:val="002060"/>
          <w:sz w:val="24"/>
          <w:szCs w:val="24"/>
        </w:rPr>
        <w:t>de progetto di rilancio del sistema.</w:t>
      </w:r>
    </w:p>
    <w:p w14:paraId="4DEBE9F1" w14:textId="77777777" w:rsidR="009E4161" w:rsidRDefault="009E4161" w:rsidP="008E2FCB">
      <w:pPr>
        <w:rPr>
          <w:b/>
          <w:bCs/>
          <w:u w:val="single"/>
        </w:rPr>
      </w:pPr>
    </w:p>
    <w:p w14:paraId="702D813D" w14:textId="77777777" w:rsidR="009E4161" w:rsidRDefault="009E4161" w:rsidP="008E2FCB">
      <w:pPr>
        <w:rPr>
          <w:b/>
          <w:bCs/>
          <w:u w:val="single"/>
        </w:rPr>
      </w:pPr>
    </w:p>
    <w:p w14:paraId="26809E04" w14:textId="77777777" w:rsidR="009E4161" w:rsidRDefault="009E4161" w:rsidP="008E2FCB">
      <w:pPr>
        <w:rPr>
          <w:b/>
          <w:bCs/>
          <w:u w:val="single"/>
        </w:rPr>
      </w:pPr>
    </w:p>
    <w:p w14:paraId="7E30951D" w14:textId="77777777" w:rsidR="009E4161" w:rsidRDefault="009E4161" w:rsidP="008E2FCB">
      <w:pPr>
        <w:rPr>
          <w:b/>
          <w:bCs/>
          <w:u w:val="single"/>
        </w:rPr>
      </w:pPr>
    </w:p>
    <w:p w14:paraId="4C998D7A" w14:textId="421CFDDA" w:rsidR="005A4FA2" w:rsidRPr="009E4161" w:rsidRDefault="00E95B7E" w:rsidP="009E4161">
      <w:pPr>
        <w:shd w:val="clear" w:color="auto" w:fill="FFC000"/>
        <w:jc w:val="center"/>
        <w:rPr>
          <w:b/>
          <w:bCs/>
          <w:sz w:val="26"/>
          <w:szCs w:val="26"/>
        </w:rPr>
      </w:pPr>
      <w:r w:rsidRPr="009E4161">
        <w:rPr>
          <w:b/>
          <w:bCs/>
          <w:sz w:val="26"/>
          <w:szCs w:val="26"/>
        </w:rPr>
        <w:t>SCHEDA DI LETTURA COMMENTATA DELLE VARIE NORME CHE RIGUARDANO LA SCUOLA</w:t>
      </w:r>
    </w:p>
    <w:tbl>
      <w:tblPr>
        <w:tblStyle w:val="Grigliatabella"/>
        <w:tblpPr w:leftFromText="180" w:rightFromText="180" w:vertAnchor="text" w:tblpY="1"/>
        <w:tblOverlap w:val="never"/>
        <w:tblW w:w="0" w:type="auto"/>
        <w:tblLook w:val="04A0" w:firstRow="1" w:lastRow="0" w:firstColumn="1" w:lastColumn="0" w:noHBand="0" w:noVBand="1"/>
      </w:tblPr>
      <w:tblGrid>
        <w:gridCol w:w="5228"/>
        <w:gridCol w:w="5228"/>
      </w:tblGrid>
      <w:tr w:rsidR="00DE5786" w:rsidRPr="00511AFE" w14:paraId="0E0A2F96" w14:textId="77777777" w:rsidTr="00E95B7E">
        <w:trPr>
          <w:trHeight w:val="300"/>
        </w:trPr>
        <w:tc>
          <w:tcPr>
            <w:tcW w:w="5228" w:type="dxa"/>
            <w:vMerge w:val="restart"/>
          </w:tcPr>
          <w:p w14:paraId="34A03F5D" w14:textId="77777777" w:rsidR="00DE5786" w:rsidRPr="00BF2885" w:rsidRDefault="00DE5786" w:rsidP="00E95B7E">
            <w:pPr>
              <w:autoSpaceDE w:val="0"/>
              <w:autoSpaceDN w:val="0"/>
              <w:adjustRightInd w:val="0"/>
              <w:jc w:val="both"/>
              <w:rPr>
                <w:rFonts w:cstheme="minorHAnsi"/>
                <w:b/>
                <w:bCs/>
                <w:i/>
                <w:iCs/>
                <w:color w:val="002060"/>
              </w:rPr>
            </w:pPr>
            <w:r w:rsidRPr="00BF2885">
              <w:rPr>
                <w:rFonts w:cstheme="minorHAnsi"/>
                <w:b/>
                <w:bCs/>
                <w:i/>
                <w:iCs/>
                <w:color w:val="002060"/>
              </w:rPr>
              <w:t>Comma 1</w:t>
            </w:r>
          </w:p>
          <w:p w14:paraId="0DCA09E3" w14:textId="10B6D324" w:rsidR="009E6B6B" w:rsidRPr="00511AFE" w:rsidRDefault="00DE5786" w:rsidP="00E95B7E">
            <w:pPr>
              <w:autoSpaceDE w:val="0"/>
              <w:autoSpaceDN w:val="0"/>
              <w:adjustRightInd w:val="0"/>
              <w:jc w:val="both"/>
              <w:rPr>
                <w:rFonts w:cstheme="minorHAnsi"/>
                <w:color w:val="002060"/>
              </w:rPr>
            </w:pPr>
            <w:r w:rsidRPr="00511AFE">
              <w:rPr>
                <w:rFonts w:cstheme="minorHAnsi"/>
                <w:color w:val="002060"/>
              </w:rPr>
              <w:t>All’articolo 1 della legge 11 dicembre 2016, n. 232 dopo il comma 366 è inserito il seguente:</w:t>
            </w:r>
          </w:p>
          <w:p w14:paraId="570DCC12" w14:textId="0C925E08" w:rsidR="00DE5786" w:rsidRPr="00511AFE" w:rsidRDefault="00DE5786" w:rsidP="00E95B7E">
            <w:pPr>
              <w:autoSpaceDE w:val="0"/>
              <w:autoSpaceDN w:val="0"/>
              <w:adjustRightInd w:val="0"/>
              <w:jc w:val="both"/>
              <w:rPr>
                <w:rFonts w:cstheme="minorHAnsi"/>
                <w:color w:val="002060"/>
              </w:rPr>
            </w:pPr>
            <w:r w:rsidRPr="00511AFE">
              <w:rPr>
                <w:rFonts w:cstheme="minorHAnsi"/>
                <w:color w:val="002060"/>
              </w:rPr>
              <w:t>“366-bis. Allo scopo di garantire la continuità didattica per gli alunni con disabilità, il fondo di cui all'articolo</w:t>
            </w:r>
            <w:r>
              <w:rPr>
                <w:rFonts w:cstheme="minorHAnsi"/>
                <w:color w:val="002060"/>
              </w:rPr>
              <w:t xml:space="preserve"> </w:t>
            </w:r>
            <w:r w:rsidRPr="00511AFE">
              <w:rPr>
                <w:rFonts w:cstheme="minorHAnsi"/>
                <w:color w:val="002060"/>
              </w:rPr>
              <w:t>1, comma 366, della legge 11 dicembre 2016, n. 232, è rifinanziato nella misura pari a 62,76 milioni nell’anno</w:t>
            </w:r>
            <w:r>
              <w:rPr>
                <w:rFonts w:cstheme="minorHAnsi"/>
                <w:color w:val="002060"/>
              </w:rPr>
              <w:t xml:space="preserve"> </w:t>
            </w:r>
            <w:r w:rsidRPr="00511AFE">
              <w:rPr>
                <w:rFonts w:cstheme="minorHAnsi"/>
                <w:color w:val="002060"/>
              </w:rPr>
              <w:t>2021, 321,34 milioni nell’anno 2022, 699,43 milioni nell’anno 2023, 916,36 milioni per ciascuno degli anni</w:t>
            </w:r>
            <w:r>
              <w:rPr>
                <w:rFonts w:cstheme="minorHAnsi"/>
                <w:color w:val="002060"/>
              </w:rPr>
              <w:t xml:space="preserve"> </w:t>
            </w:r>
            <w:r w:rsidRPr="00511AFE">
              <w:rPr>
                <w:rFonts w:cstheme="minorHAnsi"/>
                <w:color w:val="002060"/>
              </w:rPr>
              <w:t>2024 e 2025, 924,03 milioni nell’anno 2026, 956,28 milioni nell’anno 2027, 1.003,88 milioni nell’anno 2028,</w:t>
            </w:r>
            <w:r>
              <w:rPr>
                <w:rFonts w:cstheme="minorHAnsi"/>
                <w:color w:val="002060"/>
              </w:rPr>
              <w:t xml:space="preserve"> </w:t>
            </w:r>
            <w:r w:rsidRPr="00511AFE">
              <w:rPr>
                <w:rFonts w:cstheme="minorHAnsi"/>
                <w:color w:val="002060"/>
              </w:rPr>
              <w:t>1.031,52 a decorrere dall’anno 2029. La dotazione dell'organico dell'autonomia, a valere sulle risorse di cui</w:t>
            </w:r>
          </w:p>
          <w:p w14:paraId="337C6AC0" w14:textId="6A0D5678" w:rsidR="00DE5786" w:rsidRPr="00511AFE" w:rsidRDefault="00DE5786" w:rsidP="00E95B7E">
            <w:pPr>
              <w:autoSpaceDE w:val="0"/>
              <w:autoSpaceDN w:val="0"/>
              <w:adjustRightInd w:val="0"/>
              <w:jc w:val="both"/>
              <w:rPr>
                <w:rFonts w:cstheme="minorHAnsi"/>
                <w:color w:val="002060"/>
              </w:rPr>
            </w:pPr>
            <w:r w:rsidRPr="00511AFE">
              <w:rPr>
                <w:rFonts w:cstheme="minorHAnsi"/>
                <w:color w:val="002060"/>
              </w:rPr>
              <w:t>al primo periodo, è incrementata di 5.000 posti sostegno a decorrere dall’ anno scolastico 2021/2022, 11.000</w:t>
            </w:r>
            <w:r>
              <w:rPr>
                <w:rFonts w:cstheme="minorHAnsi"/>
                <w:color w:val="002060"/>
              </w:rPr>
              <w:t xml:space="preserve"> </w:t>
            </w:r>
            <w:r w:rsidRPr="00511AFE">
              <w:rPr>
                <w:rFonts w:cstheme="minorHAnsi"/>
                <w:color w:val="002060"/>
              </w:rPr>
              <w:t>posti di sostegno a decorrere dall’anno scolastico 2022/2023 e 9.000 posti di sostegno a decorrere dall’anno</w:t>
            </w:r>
            <w:r>
              <w:rPr>
                <w:rFonts w:cstheme="minorHAnsi"/>
                <w:color w:val="002060"/>
              </w:rPr>
              <w:t xml:space="preserve"> </w:t>
            </w:r>
            <w:r w:rsidRPr="00511AFE">
              <w:rPr>
                <w:rFonts w:cstheme="minorHAnsi"/>
                <w:color w:val="002060"/>
              </w:rPr>
              <w:t>scolastico 2023/2024. Alla ripartizione delle risorse di cui al presente comma, disponibili a decorrere</w:t>
            </w:r>
          </w:p>
          <w:p w14:paraId="5FA305AE" w14:textId="05703FE9" w:rsidR="00DE5786" w:rsidRPr="00511AFE" w:rsidRDefault="00DE5786" w:rsidP="00E95B7E">
            <w:pPr>
              <w:autoSpaceDE w:val="0"/>
              <w:autoSpaceDN w:val="0"/>
              <w:adjustRightInd w:val="0"/>
              <w:jc w:val="both"/>
              <w:rPr>
                <w:rFonts w:cstheme="minorHAnsi"/>
                <w:color w:val="002060"/>
              </w:rPr>
            </w:pPr>
            <w:r w:rsidRPr="00511AFE">
              <w:rPr>
                <w:rFonts w:cstheme="minorHAnsi"/>
                <w:color w:val="002060"/>
              </w:rPr>
              <w:t>dall’anno scolastico 2021/2022, si provvede con decreto del Ministro dell’istruzione di concerto con il</w:t>
            </w:r>
            <w:r>
              <w:rPr>
                <w:rFonts w:cstheme="minorHAnsi"/>
                <w:color w:val="002060"/>
              </w:rPr>
              <w:t xml:space="preserve"> </w:t>
            </w:r>
            <w:r w:rsidRPr="00511AFE">
              <w:rPr>
                <w:rFonts w:cstheme="minorHAnsi"/>
                <w:color w:val="002060"/>
              </w:rPr>
              <w:t>Ministro dell’economia e delle finanze. All’incremento derivante dall’attuazione della presente misura non si</w:t>
            </w:r>
            <w:r>
              <w:rPr>
                <w:rFonts w:cstheme="minorHAnsi"/>
                <w:color w:val="002060"/>
              </w:rPr>
              <w:t xml:space="preserve"> </w:t>
            </w:r>
            <w:r w:rsidRPr="00511AFE">
              <w:rPr>
                <w:rFonts w:cstheme="minorHAnsi"/>
                <w:color w:val="002060"/>
              </w:rPr>
              <w:t>applicano le disposizioni di cui all’articolo 1, comma 373, della legge 11 dicembre 2016, n. 232.</w:t>
            </w:r>
          </w:p>
          <w:p w14:paraId="72828014" w14:textId="77777777" w:rsidR="00DE5786" w:rsidRPr="00511AFE" w:rsidRDefault="00DE5786" w:rsidP="00E95B7E">
            <w:pPr>
              <w:jc w:val="both"/>
              <w:rPr>
                <w:rFonts w:cstheme="minorHAnsi"/>
                <w:color w:val="002060"/>
              </w:rPr>
            </w:pPr>
          </w:p>
        </w:tc>
        <w:tc>
          <w:tcPr>
            <w:tcW w:w="5228" w:type="dxa"/>
            <w:shd w:val="clear" w:color="auto" w:fill="FFC000"/>
          </w:tcPr>
          <w:p w14:paraId="28A471C0" w14:textId="4B6342B4" w:rsidR="00DE5786" w:rsidRPr="00DE5786" w:rsidRDefault="00E95B7E" w:rsidP="00E95B7E">
            <w:pPr>
              <w:jc w:val="center"/>
              <w:rPr>
                <w:rFonts w:cstheme="minorHAnsi"/>
                <w:b/>
                <w:bCs/>
                <w:color w:val="002060"/>
                <w:sz w:val="24"/>
                <w:szCs w:val="24"/>
              </w:rPr>
            </w:pPr>
            <w:r w:rsidRPr="00E95B7E">
              <w:rPr>
                <w:rFonts w:cstheme="minorHAnsi"/>
                <w:b/>
                <w:bCs/>
                <w:color w:val="002060"/>
                <w:sz w:val="24"/>
                <w:szCs w:val="24"/>
                <w:u w:val="single"/>
              </w:rPr>
              <w:t>COMMENTO</w:t>
            </w:r>
            <w:r>
              <w:rPr>
                <w:rFonts w:cstheme="minorHAnsi"/>
                <w:b/>
                <w:bCs/>
                <w:color w:val="002060"/>
                <w:sz w:val="24"/>
                <w:szCs w:val="24"/>
              </w:rPr>
              <w:br/>
            </w:r>
            <w:r w:rsidR="00DE5786" w:rsidRPr="00DE5786">
              <w:rPr>
                <w:rFonts w:cstheme="minorHAnsi"/>
                <w:b/>
                <w:bCs/>
                <w:color w:val="002060"/>
                <w:sz w:val="24"/>
                <w:szCs w:val="24"/>
              </w:rPr>
              <w:t>Docenti di sostegno</w:t>
            </w:r>
          </w:p>
          <w:p w14:paraId="13786D6A" w14:textId="121440D1" w:rsidR="00DE5786" w:rsidRPr="00511AFE" w:rsidRDefault="00DE5786" w:rsidP="00E95B7E">
            <w:pPr>
              <w:jc w:val="both"/>
              <w:rPr>
                <w:rFonts w:cstheme="minorHAnsi"/>
                <w:color w:val="002060"/>
              </w:rPr>
            </w:pPr>
          </w:p>
        </w:tc>
      </w:tr>
      <w:tr w:rsidR="00DE5786" w:rsidRPr="00511AFE" w14:paraId="221CC1A2" w14:textId="77777777" w:rsidTr="00E95B7E">
        <w:trPr>
          <w:trHeight w:val="6675"/>
        </w:trPr>
        <w:tc>
          <w:tcPr>
            <w:tcW w:w="5228" w:type="dxa"/>
            <w:vMerge/>
          </w:tcPr>
          <w:p w14:paraId="3722171E" w14:textId="77777777" w:rsidR="00DE5786" w:rsidRPr="00BF2885" w:rsidRDefault="00DE5786" w:rsidP="00E95B7E">
            <w:pPr>
              <w:autoSpaceDE w:val="0"/>
              <w:autoSpaceDN w:val="0"/>
              <w:adjustRightInd w:val="0"/>
              <w:jc w:val="both"/>
              <w:rPr>
                <w:rFonts w:cstheme="minorHAnsi"/>
                <w:b/>
                <w:bCs/>
                <w:i/>
                <w:iCs/>
                <w:color w:val="002060"/>
              </w:rPr>
            </w:pPr>
          </w:p>
        </w:tc>
        <w:tc>
          <w:tcPr>
            <w:tcW w:w="5228" w:type="dxa"/>
          </w:tcPr>
          <w:p w14:paraId="0F23168B" w14:textId="77777777" w:rsidR="00767119" w:rsidRDefault="00767119" w:rsidP="00E95B7E">
            <w:pPr>
              <w:jc w:val="both"/>
              <w:rPr>
                <w:rFonts w:cstheme="minorHAnsi"/>
                <w:b/>
                <w:bCs/>
                <w:color w:val="002060"/>
              </w:rPr>
            </w:pPr>
          </w:p>
          <w:p w14:paraId="4E09F3DF" w14:textId="3088E76D" w:rsidR="00DE5786" w:rsidRPr="009464BC" w:rsidRDefault="00DE5786" w:rsidP="00E95B7E">
            <w:pPr>
              <w:jc w:val="both"/>
              <w:rPr>
                <w:rFonts w:cstheme="minorHAnsi"/>
                <w:b/>
                <w:bCs/>
                <w:color w:val="002060"/>
              </w:rPr>
            </w:pPr>
            <w:r w:rsidRPr="009464BC">
              <w:rPr>
                <w:rFonts w:cstheme="minorHAnsi"/>
                <w:b/>
                <w:bCs/>
                <w:color w:val="002060"/>
              </w:rPr>
              <w:t xml:space="preserve">È prevista, a partire dal prossimo anno scolastico, l’assunzione a tempo indeterminato, dalle graduatorie utili alle immissioni in ruolo, </w:t>
            </w:r>
            <w:r w:rsidR="00767119">
              <w:rPr>
                <w:rFonts w:cstheme="minorHAnsi"/>
                <w:b/>
                <w:bCs/>
                <w:color w:val="002060"/>
              </w:rPr>
              <w:t>per</w:t>
            </w:r>
            <w:r w:rsidRPr="009464BC">
              <w:rPr>
                <w:rFonts w:cstheme="minorHAnsi"/>
                <w:b/>
                <w:bCs/>
                <w:color w:val="002060"/>
              </w:rPr>
              <w:t xml:space="preserve"> un totale di 25.000 docenti di sostegno. </w:t>
            </w:r>
          </w:p>
          <w:p w14:paraId="6EDD8AF3" w14:textId="77777777" w:rsidR="00DE5786" w:rsidRPr="009464BC" w:rsidRDefault="00DE5786" w:rsidP="00E95B7E">
            <w:pPr>
              <w:jc w:val="both"/>
              <w:rPr>
                <w:rFonts w:cstheme="minorHAnsi"/>
                <w:b/>
                <w:bCs/>
                <w:color w:val="002060"/>
              </w:rPr>
            </w:pPr>
          </w:p>
          <w:p w14:paraId="44287D6B" w14:textId="77777777" w:rsidR="00DE5786" w:rsidRPr="009464BC" w:rsidRDefault="00DE5786" w:rsidP="00E95B7E">
            <w:pPr>
              <w:jc w:val="both"/>
              <w:rPr>
                <w:rFonts w:cstheme="minorHAnsi"/>
                <w:b/>
                <w:bCs/>
                <w:color w:val="002060"/>
              </w:rPr>
            </w:pPr>
            <w:r w:rsidRPr="009464BC">
              <w:rPr>
                <w:rFonts w:cstheme="minorHAnsi"/>
                <w:b/>
                <w:bCs/>
                <w:color w:val="002060"/>
              </w:rPr>
              <w:t>Le 25.000 immissioni in ruolo sono ripartite in un triennio:</w:t>
            </w:r>
          </w:p>
          <w:p w14:paraId="60605680" w14:textId="77777777" w:rsidR="00DE5786" w:rsidRPr="009464BC" w:rsidRDefault="00DE5786" w:rsidP="00E95B7E">
            <w:pPr>
              <w:jc w:val="both"/>
              <w:rPr>
                <w:rFonts w:cstheme="minorHAnsi"/>
                <w:b/>
                <w:bCs/>
                <w:color w:val="002060"/>
              </w:rPr>
            </w:pPr>
          </w:p>
          <w:p w14:paraId="6AE3442A" w14:textId="77777777" w:rsidR="00DE5786" w:rsidRPr="009464BC" w:rsidRDefault="00DE5786" w:rsidP="00E95B7E">
            <w:pPr>
              <w:pStyle w:val="Paragrafoelenco"/>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cstheme="minorHAnsi"/>
                <w:b/>
                <w:bCs/>
                <w:color w:val="002060"/>
              </w:rPr>
            </w:pPr>
            <w:r w:rsidRPr="009464BC">
              <w:rPr>
                <w:rFonts w:cstheme="minorHAnsi"/>
                <w:b/>
                <w:bCs/>
                <w:color w:val="002060"/>
              </w:rPr>
              <w:t xml:space="preserve">a.s.  21/22: 5.000 posti </w:t>
            </w:r>
          </w:p>
          <w:p w14:paraId="2BBAED08" w14:textId="77777777" w:rsidR="00DE5786" w:rsidRPr="009464BC" w:rsidRDefault="00DE5786" w:rsidP="00E95B7E">
            <w:pPr>
              <w:pStyle w:val="Paragrafoelenco"/>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cstheme="minorHAnsi"/>
                <w:b/>
                <w:bCs/>
                <w:color w:val="002060"/>
              </w:rPr>
            </w:pPr>
            <w:r w:rsidRPr="009464BC">
              <w:rPr>
                <w:rFonts w:cstheme="minorHAnsi"/>
                <w:b/>
                <w:bCs/>
                <w:color w:val="002060"/>
              </w:rPr>
              <w:t xml:space="preserve">a.s.  22/23: 11.000 posti </w:t>
            </w:r>
          </w:p>
          <w:p w14:paraId="3D24036E" w14:textId="77777777" w:rsidR="00DE5786" w:rsidRPr="009464BC" w:rsidRDefault="00DE5786" w:rsidP="00E95B7E">
            <w:pPr>
              <w:pStyle w:val="Paragrafoelenco"/>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cstheme="minorHAnsi"/>
                <w:b/>
                <w:bCs/>
                <w:color w:val="002060"/>
              </w:rPr>
            </w:pPr>
            <w:r w:rsidRPr="009464BC">
              <w:rPr>
                <w:rFonts w:cstheme="minorHAnsi"/>
                <w:b/>
                <w:bCs/>
                <w:color w:val="002060"/>
              </w:rPr>
              <w:t xml:space="preserve">a.s.  23/24: 9.000 posti </w:t>
            </w:r>
          </w:p>
          <w:p w14:paraId="6F44B376" w14:textId="77777777" w:rsidR="00DE5786" w:rsidRPr="009464BC" w:rsidRDefault="00DE5786" w:rsidP="00E95B7E">
            <w:pPr>
              <w:jc w:val="both"/>
              <w:rPr>
                <w:rFonts w:cstheme="minorHAnsi"/>
                <w:b/>
                <w:bCs/>
                <w:color w:val="002060"/>
              </w:rPr>
            </w:pPr>
          </w:p>
          <w:p w14:paraId="39A5A9A2" w14:textId="77777777" w:rsidR="00DE5786" w:rsidRPr="009464BC" w:rsidRDefault="00DE5786" w:rsidP="00E95B7E">
            <w:pPr>
              <w:autoSpaceDE w:val="0"/>
              <w:autoSpaceDN w:val="0"/>
              <w:adjustRightInd w:val="0"/>
              <w:jc w:val="both"/>
              <w:rPr>
                <w:rFonts w:cstheme="minorHAnsi"/>
                <w:b/>
                <w:bCs/>
                <w:color w:val="002060"/>
              </w:rPr>
            </w:pPr>
            <w:r w:rsidRPr="009464BC">
              <w:rPr>
                <w:rFonts w:cstheme="minorHAnsi"/>
                <w:b/>
                <w:bCs/>
                <w:color w:val="002060"/>
              </w:rPr>
              <w:t>Per la ripartizione delle risorse, disponibili a decorrere</w:t>
            </w:r>
          </w:p>
          <w:p w14:paraId="20240108" w14:textId="6B7632D4" w:rsidR="00DE5786" w:rsidRPr="009464BC" w:rsidRDefault="00DE5786" w:rsidP="00E95B7E">
            <w:pPr>
              <w:autoSpaceDE w:val="0"/>
              <w:autoSpaceDN w:val="0"/>
              <w:adjustRightInd w:val="0"/>
              <w:jc w:val="both"/>
              <w:rPr>
                <w:rFonts w:cstheme="minorHAnsi"/>
                <w:b/>
                <w:bCs/>
                <w:color w:val="002060"/>
              </w:rPr>
            </w:pPr>
            <w:r w:rsidRPr="009464BC">
              <w:rPr>
                <w:rFonts w:cstheme="minorHAnsi"/>
                <w:b/>
                <w:bCs/>
                <w:color w:val="002060"/>
              </w:rPr>
              <w:t>dall’anno scolastico 2021/2022, provvederà con apposito decreto del Ministro dell’istruzione di concerto con il</w:t>
            </w:r>
            <w:r w:rsidR="00767119">
              <w:rPr>
                <w:rFonts w:cstheme="minorHAnsi"/>
                <w:b/>
                <w:bCs/>
                <w:color w:val="002060"/>
              </w:rPr>
              <w:t xml:space="preserve"> </w:t>
            </w:r>
            <w:r w:rsidRPr="009464BC">
              <w:rPr>
                <w:rFonts w:cstheme="minorHAnsi"/>
                <w:b/>
                <w:bCs/>
                <w:color w:val="002060"/>
              </w:rPr>
              <w:t>Ministro dell’economia e delle finanze.</w:t>
            </w:r>
          </w:p>
          <w:p w14:paraId="1B879F94" w14:textId="77777777" w:rsidR="00DE5786" w:rsidRDefault="00DE5786" w:rsidP="00E95B7E">
            <w:pPr>
              <w:jc w:val="both"/>
              <w:rPr>
                <w:rFonts w:cstheme="minorHAnsi"/>
                <w:b/>
                <w:bCs/>
                <w:color w:val="002060"/>
                <w:sz w:val="24"/>
                <w:szCs w:val="24"/>
              </w:rPr>
            </w:pPr>
          </w:p>
          <w:p w14:paraId="31DDB95C" w14:textId="6498C263" w:rsidR="00E95B7E" w:rsidRPr="00E95B7E" w:rsidRDefault="00E95B7E" w:rsidP="009E4161">
            <w:pPr>
              <w:jc w:val="both"/>
              <w:rPr>
                <w:rFonts w:cstheme="minorHAnsi"/>
                <w:b/>
                <w:bCs/>
                <w:i/>
                <w:iCs/>
                <w:sz w:val="24"/>
                <w:szCs w:val="24"/>
              </w:rPr>
            </w:pPr>
            <w:r w:rsidRPr="00E95B7E">
              <w:rPr>
                <w:rFonts w:cstheme="minorHAnsi"/>
                <w:b/>
                <w:bCs/>
                <w:i/>
                <w:iCs/>
                <w:sz w:val="24"/>
                <w:szCs w:val="24"/>
              </w:rPr>
              <w:t>Troppo spalmata nel tempo e non ci sono docenti da assumere. Serve un piano di reclutamento come da UIL Scuola proposto</w:t>
            </w:r>
            <w:r w:rsidR="009E4161">
              <w:rPr>
                <w:rFonts w:cstheme="minorHAnsi"/>
                <w:b/>
                <w:bCs/>
                <w:i/>
                <w:iCs/>
                <w:sz w:val="24"/>
                <w:szCs w:val="24"/>
              </w:rPr>
              <w:t>.</w:t>
            </w:r>
          </w:p>
        </w:tc>
      </w:tr>
      <w:tr w:rsidR="00DE5786" w:rsidRPr="00511AFE" w14:paraId="352B8825" w14:textId="77777777" w:rsidTr="00E95B7E">
        <w:trPr>
          <w:trHeight w:val="435"/>
        </w:trPr>
        <w:tc>
          <w:tcPr>
            <w:tcW w:w="5228" w:type="dxa"/>
            <w:vMerge w:val="restart"/>
          </w:tcPr>
          <w:p w14:paraId="26BA5BCE" w14:textId="580142C1" w:rsidR="00DE5786" w:rsidRPr="00BF2885" w:rsidRDefault="00DE5786" w:rsidP="00E95B7E">
            <w:pPr>
              <w:autoSpaceDE w:val="0"/>
              <w:autoSpaceDN w:val="0"/>
              <w:adjustRightInd w:val="0"/>
              <w:jc w:val="both"/>
              <w:rPr>
                <w:rFonts w:cstheme="minorHAnsi"/>
                <w:b/>
                <w:bCs/>
                <w:i/>
                <w:iCs/>
                <w:color w:val="002060"/>
              </w:rPr>
            </w:pPr>
            <w:r w:rsidRPr="00BF2885">
              <w:rPr>
                <w:rFonts w:cstheme="minorHAnsi"/>
                <w:b/>
                <w:bCs/>
                <w:i/>
                <w:iCs/>
                <w:color w:val="002060"/>
              </w:rPr>
              <w:t xml:space="preserve">Comma </w:t>
            </w:r>
            <w:r>
              <w:rPr>
                <w:rFonts w:cstheme="minorHAnsi"/>
                <w:b/>
                <w:bCs/>
                <w:i/>
                <w:iCs/>
                <w:color w:val="002060"/>
              </w:rPr>
              <w:t>2</w:t>
            </w:r>
          </w:p>
          <w:p w14:paraId="4C59431A" w14:textId="3DAB7449" w:rsidR="00DE5786" w:rsidRPr="00511AFE" w:rsidRDefault="00DE5786" w:rsidP="00E95B7E">
            <w:pPr>
              <w:autoSpaceDE w:val="0"/>
              <w:autoSpaceDN w:val="0"/>
              <w:adjustRightInd w:val="0"/>
              <w:jc w:val="both"/>
              <w:rPr>
                <w:rFonts w:cstheme="minorHAnsi"/>
                <w:color w:val="002060"/>
              </w:rPr>
            </w:pPr>
            <w:r w:rsidRPr="00511AFE">
              <w:rPr>
                <w:rFonts w:cstheme="minorHAnsi"/>
                <w:color w:val="002060"/>
              </w:rPr>
              <w:t>Il fondo di cui all’articolo 1, comma 125, della legge 13 luglio 2015, n. 107 è incrementato di 10 milioni di</w:t>
            </w:r>
            <w:r>
              <w:rPr>
                <w:rFonts w:cstheme="minorHAnsi"/>
                <w:color w:val="002060"/>
              </w:rPr>
              <w:t xml:space="preserve"> </w:t>
            </w:r>
            <w:r w:rsidRPr="00511AFE">
              <w:rPr>
                <w:rFonts w:cstheme="minorHAnsi"/>
                <w:color w:val="002060"/>
              </w:rPr>
              <w:t>euro per l’anno 2021 per realizzare interventi di formazione obbligatoria del personale docente impegnato</w:t>
            </w:r>
            <w:r>
              <w:rPr>
                <w:rFonts w:cstheme="minorHAnsi"/>
                <w:color w:val="002060"/>
              </w:rPr>
              <w:t xml:space="preserve"> </w:t>
            </w:r>
            <w:r w:rsidRPr="00511AFE">
              <w:rPr>
                <w:rFonts w:cstheme="minorHAnsi"/>
                <w:color w:val="002060"/>
              </w:rPr>
              <w:t>nelle classi con alunni con disabilità. Detta formazione è finalizzata all’inclusione scolastica dell’alunno con</w:t>
            </w:r>
            <w:r>
              <w:rPr>
                <w:rFonts w:cstheme="minorHAnsi"/>
                <w:color w:val="002060"/>
              </w:rPr>
              <w:t xml:space="preserve"> </w:t>
            </w:r>
            <w:r w:rsidRPr="00511AFE">
              <w:rPr>
                <w:rFonts w:cstheme="minorHAnsi"/>
                <w:color w:val="002060"/>
              </w:rPr>
              <w:t>disabilità e a garantire il principio di contitolarità nella presa in carico dell’alunno stesso. Con decreto del</w:t>
            </w:r>
            <w:r>
              <w:rPr>
                <w:rFonts w:cstheme="minorHAnsi"/>
                <w:color w:val="002060"/>
              </w:rPr>
              <w:t xml:space="preserve"> </w:t>
            </w:r>
            <w:r w:rsidRPr="00511AFE">
              <w:rPr>
                <w:rFonts w:cstheme="minorHAnsi"/>
                <w:color w:val="002060"/>
              </w:rPr>
              <w:t>Ministero dell’istruzione, da adottarsi entro 30 trenta giorni dall’entrata in vigore della presente legge, sono</w:t>
            </w:r>
            <w:r>
              <w:rPr>
                <w:rFonts w:cstheme="minorHAnsi"/>
                <w:color w:val="002060"/>
              </w:rPr>
              <w:t xml:space="preserve"> </w:t>
            </w:r>
            <w:r w:rsidRPr="00511AFE">
              <w:rPr>
                <w:rFonts w:cstheme="minorHAnsi"/>
                <w:color w:val="002060"/>
              </w:rPr>
              <w:t>stabiliti le modalità attuative, prevedendo il divieto di esonero dall’insegnamento, i criteri di riparto, le</w:t>
            </w:r>
            <w:r>
              <w:rPr>
                <w:rFonts w:cstheme="minorHAnsi"/>
                <w:color w:val="002060"/>
              </w:rPr>
              <w:t xml:space="preserve"> </w:t>
            </w:r>
            <w:r w:rsidRPr="00511AFE">
              <w:rPr>
                <w:rFonts w:cstheme="minorHAnsi"/>
                <w:color w:val="002060"/>
              </w:rPr>
              <w:t>condizioni per riservare la formazione al solo personale non in possesso del titolo di specializzazione sul</w:t>
            </w:r>
            <w:r>
              <w:rPr>
                <w:rFonts w:cstheme="minorHAnsi"/>
                <w:color w:val="002060"/>
              </w:rPr>
              <w:t xml:space="preserve"> </w:t>
            </w:r>
            <w:r w:rsidRPr="00511AFE">
              <w:rPr>
                <w:rFonts w:cstheme="minorHAnsi"/>
                <w:color w:val="002060"/>
              </w:rPr>
              <w:t>sostegno, la determinazione delle unità formative comunque non inferiori a 25 ore di impegno complessivo,</w:t>
            </w:r>
            <w:r>
              <w:rPr>
                <w:rFonts w:cstheme="minorHAnsi"/>
                <w:color w:val="002060"/>
              </w:rPr>
              <w:t xml:space="preserve"> </w:t>
            </w:r>
            <w:r w:rsidRPr="00511AFE">
              <w:rPr>
                <w:rFonts w:cstheme="minorHAnsi"/>
                <w:color w:val="002060"/>
              </w:rPr>
              <w:t>criteri e modalità di monitoraggio delle attività formative di cui al presente comma.</w:t>
            </w:r>
          </w:p>
          <w:p w14:paraId="37D04A2F" w14:textId="77777777" w:rsidR="00DE5786" w:rsidRPr="00511AFE" w:rsidRDefault="00DE5786" w:rsidP="00E95B7E">
            <w:pPr>
              <w:jc w:val="both"/>
              <w:rPr>
                <w:rFonts w:cstheme="minorHAnsi"/>
                <w:color w:val="002060"/>
              </w:rPr>
            </w:pPr>
          </w:p>
        </w:tc>
        <w:tc>
          <w:tcPr>
            <w:tcW w:w="5228" w:type="dxa"/>
            <w:shd w:val="clear" w:color="auto" w:fill="FFC000"/>
          </w:tcPr>
          <w:p w14:paraId="737984F9" w14:textId="086FCFB5" w:rsidR="00DE5786" w:rsidRPr="00500E63" w:rsidRDefault="00DE5786" w:rsidP="00E95B7E">
            <w:pPr>
              <w:jc w:val="center"/>
              <w:rPr>
                <w:rFonts w:cstheme="minorHAnsi"/>
                <w:b/>
                <w:bCs/>
                <w:color w:val="002060"/>
                <w:sz w:val="24"/>
                <w:szCs w:val="24"/>
              </w:rPr>
            </w:pPr>
            <w:r w:rsidRPr="00500E63">
              <w:rPr>
                <w:rFonts w:cstheme="minorHAnsi"/>
                <w:b/>
                <w:bCs/>
                <w:color w:val="002060"/>
                <w:sz w:val="24"/>
                <w:szCs w:val="24"/>
              </w:rPr>
              <w:t xml:space="preserve">Fondo per la formazione </w:t>
            </w:r>
            <w:r w:rsidR="006E1163">
              <w:rPr>
                <w:rFonts w:cstheme="minorHAnsi"/>
                <w:b/>
                <w:bCs/>
                <w:color w:val="002060"/>
                <w:sz w:val="24"/>
                <w:szCs w:val="24"/>
              </w:rPr>
              <w:t xml:space="preserve">obbligatoria </w:t>
            </w:r>
            <w:r w:rsidRPr="00500E63">
              <w:rPr>
                <w:rFonts w:cstheme="minorHAnsi"/>
                <w:b/>
                <w:bCs/>
                <w:color w:val="002060"/>
                <w:sz w:val="24"/>
                <w:szCs w:val="24"/>
              </w:rPr>
              <w:t>dei docenti</w:t>
            </w:r>
          </w:p>
          <w:p w14:paraId="4CBACBDC" w14:textId="2D3197C5" w:rsidR="00DE5786" w:rsidRPr="00511AFE" w:rsidRDefault="00DE5786" w:rsidP="00E95B7E">
            <w:pPr>
              <w:jc w:val="both"/>
              <w:rPr>
                <w:rFonts w:cstheme="minorHAnsi"/>
                <w:b/>
                <w:bCs/>
                <w:color w:val="002060"/>
              </w:rPr>
            </w:pPr>
          </w:p>
        </w:tc>
      </w:tr>
      <w:tr w:rsidR="00DE5786" w:rsidRPr="00511AFE" w14:paraId="4507F513" w14:textId="77777777" w:rsidTr="00E95B7E">
        <w:trPr>
          <w:trHeight w:val="3375"/>
        </w:trPr>
        <w:tc>
          <w:tcPr>
            <w:tcW w:w="5228" w:type="dxa"/>
            <w:vMerge/>
          </w:tcPr>
          <w:p w14:paraId="2725D205" w14:textId="77777777" w:rsidR="00DE5786" w:rsidRPr="00BF2885" w:rsidRDefault="00DE5786" w:rsidP="00E95B7E">
            <w:pPr>
              <w:autoSpaceDE w:val="0"/>
              <w:autoSpaceDN w:val="0"/>
              <w:adjustRightInd w:val="0"/>
              <w:jc w:val="both"/>
              <w:rPr>
                <w:rFonts w:cstheme="minorHAnsi"/>
                <w:b/>
                <w:bCs/>
                <w:i/>
                <w:iCs/>
                <w:color w:val="002060"/>
              </w:rPr>
            </w:pPr>
          </w:p>
        </w:tc>
        <w:tc>
          <w:tcPr>
            <w:tcW w:w="5228" w:type="dxa"/>
          </w:tcPr>
          <w:p w14:paraId="13455FBC" w14:textId="77777777" w:rsidR="00335E5D" w:rsidRDefault="00335E5D" w:rsidP="00E95B7E">
            <w:pPr>
              <w:jc w:val="both"/>
              <w:rPr>
                <w:rFonts w:cstheme="minorHAnsi"/>
                <w:b/>
                <w:bCs/>
                <w:color w:val="002060"/>
              </w:rPr>
            </w:pPr>
          </w:p>
          <w:p w14:paraId="6AF303AD" w14:textId="744DA808" w:rsidR="00DE5786" w:rsidRDefault="00DE5786" w:rsidP="00E95B7E">
            <w:pPr>
              <w:jc w:val="both"/>
              <w:rPr>
                <w:rFonts w:cstheme="minorHAnsi"/>
                <w:b/>
                <w:bCs/>
                <w:color w:val="002060"/>
              </w:rPr>
            </w:pPr>
            <w:r w:rsidRPr="00500E63">
              <w:rPr>
                <w:rFonts w:cstheme="minorHAnsi"/>
                <w:b/>
                <w:bCs/>
                <w:color w:val="002060"/>
              </w:rPr>
              <w:t>Il fondo è incrementato di 10 milioni di euro per l’anno 2021</w:t>
            </w:r>
            <w:r w:rsidR="00500E63">
              <w:rPr>
                <w:rFonts w:cstheme="minorHAnsi"/>
                <w:b/>
                <w:bCs/>
                <w:color w:val="002060"/>
              </w:rPr>
              <w:t>.</w:t>
            </w:r>
          </w:p>
          <w:p w14:paraId="09FFF13D" w14:textId="77777777" w:rsidR="00500E63" w:rsidRPr="00500E63" w:rsidRDefault="00500E63" w:rsidP="00E95B7E">
            <w:pPr>
              <w:jc w:val="both"/>
              <w:rPr>
                <w:rFonts w:cstheme="minorHAnsi"/>
                <w:b/>
                <w:bCs/>
                <w:color w:val="002060"/>
              </w:rPr>
            </w:pPr>
          </w:p>
          <w:p w14:paraId="07E101E1" w14:textId="77777777" w:rsidR="00DE5786" w:rsidRPr="00511AFE" w:rsidRDefault="00DE5786" w:rsidP="00E95B7E">
            <w:pPr>
              <w:pStyle w:val="Paragrafoelenco"/>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heme="minorHAnsi"/>
                <w:b/>
                <w:bCs/>
                <w:color w:val="002060"/>
              </w:rPr>
            </w:pPr>
            <w:r w:rsidRPr="00511AFE">
              <w:rPr>
                <w:rFonts w:cstheme="minorHAnsi"/>
                <w:b/>
                <w:bCs/>
                <w:color w:val="002060"/>
              </w:rPr>
              <w:t>È destinato a tutti i docenti non in possesso della specializzazione che insegn</w:t>
            </w:r>
            <w:r>
              <w:rPr>
                <w:rFonts w:cstheme="minorHAnsi"/>
                <w:b/>
                <w:bCs/>
                <w:color w:val="002060"/>
              </w:rPr>
              <w:t>a</w:t>
            </w:r>
            <w:r w:rsidRPr="00511AFE">
              <w:rPr>
                <w:rFonts w:cstheme="minorHAnsi"/>
                <w:b/>
                <w:bCs/>
                <w:color w:val="002060"/>
              </w:rPr>
              <w:t xml:space="preserve">no in classi in cui è presente </w:t>
            </w:r>
            <w:r>
              <w:rPr>
                <w:rFonts w:cstheme="minorHAnsi"/>
                <w:b/>
                <w:bCs/>
                <w:color w:val="002060"/>
              </w:rPr>
              <w:t xml:space="preserve">un </w:t>
            </w:r>
            <w:r w:rsidRPr="00511AFE">
              <w:rPr>
                <w:rFonts w:cstheme="minorHAnsi"/>
                <w:b/>
                <w:bCs/>
                <w:color w:val="002060"/>
              </w:rPr>
              <w:t>alunno disabil</w:t>
            </w:r>
            <w:r>
              <w:rPr>
                <w:rFonts w:cstheme="minorHAnsi"/>
                <w:b/>
                <w:bCs/>
                <w:color w:val="002060"/>
              </w:rPr>
              <w:t>e;</w:t>
            </w:r>
          </w:p>
          <w:p w14:paraId="5E11DC4B" w14:textId="3AD6678F" w:rsidR="00DE5786" w:rsidRPr="00511AFE" w:rsidRDefault="00DE5786" w:rsidP="00E95B7E">
            <w:pPr>
              <w:pStyle w:val="Paragrafoelenco"/>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heme="minorHAnsi"/>
                <w:b/>
                <w:bCs/>
                <w:color w:val="002060"/>
              </w:rPr>
            </w:pPr>
            <w:r w:rsidRPr="00511AFE">
              <w:rPr>
                <w:rFonts w:cstheme="minorHAnsi"/>
                <w:b/>
                <w:bCs/>
                <w:color w:val="002060"/>
              </w:rPr>
              <w:t xml:space="preserve">Il monte orario </w:t>
            </w:r>
            <w:r>
              <w:rPr>
                <w:rFonts w:cstheme="minorHAnsi"/>
                <w:b/>
                <w:bCs/>
                <w:color w:val="002060"/>
              </w:rPr>
              <w:t xml:space="preserve">di formazione </w:t>
            </w:r>
            <w:r w:rsidRPr="00511AFE">
              <w:rPr>
                <w:rFonts w:cstheme="minorHAnsi"/>
                <w:b/>
                <w:bCs/>
                <w:color w:val="002060"/>
              </w:rPr>
              <w:t>non può essere inferiore a 25 ore</w:t>
            </w:r>
            <w:r w:rsidR="00500E63">
              <w:rPr>
                <w:rFonts w:cstheme="minorHAnsi"/>
                <w:b/>
                <w:bCs/>
                <w:color w:val="002060"/>
              </w:rPr>
              <w:t>;</w:t>
            </w:r>
          </w:p>
          <w:p w14:paraId="6E3D14FE" w14:textId="40A49C45" w:rsidR="00DE5786" w:rsidRPr="00511AFE" w:rsidRDefault="004F316B" w:rsidP="00E95B7E">
            <w:pPr>
              <w:pStyle w:val="Paragrafoelenco"/>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heme="minorHAnsi"/>
                <w:b/>
                <w:bCs/>
                <w:color w:val="002060"/>
              </w:rPr>
            </w:pPr>
            <w:r>
              <w:rPr>
                <w:rFonts w:cstheme="minorHAnsi"/>
                <w:b/>
                <w:bCs/>
                <w:color w:val="002060"/>
              </w:rPr>
              <w:t>S</w:t>
            </w:r>
            <w:r w:rsidR="00DE5786" w:rsidRPr="00511AFE">
              <w:rPr>
                <w:rFonts w:cstheme="minorHAnsi"/>
                <w:b/>
                <w:bCs/>
                <w:color w:val="002060"/>
              </w:rPr>
              <w:t>ono esonerati i docenti già in possesso della specializzazione</w:t>
            </w:r>
            <w:r w:rsidR="00500E63">
              <w:rPr>
                <w:rFonts w:cstheme="minorHAnsi"/>
                <w:b/>
                <w:bCs/>
                <w:color w:val="002060"/>
              </w:rPr>
              <w:t>;</w:t>
            </w:r>
          </w:p>
          <w:p w14:paraId="385B35C2" w14:textId="0E1B707F" w:rsidR="00DE5786" w:rsidRPr="00511AFE" w:rsidRDefault="004F316B" w:rsidP="00E95B7E">
            <w:pPr>
              <w:pStyle w:val="Paragrafoelenco"/>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heme="minorHAnsi"/>
                <w:b/>
                <w:bCs/>
                <w:color w:val="002060"/>
              </w:rPr>
            </w:pPr>
            <w:r>
              <w:rPr>
                <w:rFonts w:cstheme="minorHAnsi"/>
                <w:b/>
                <w:bCs/>
                <w:color w:val="002060"/>
              </w:rPr>
              <w:t>N</w:t>
            </w:r>
            <w:r w:rsidR="00DE5786" w:rsidRPr="00511AFE">
              <w:rPr>
                <w:rFonts w:cstheme="minorHAnsi"/>
                <w:b/>
                <w:bCs/>
                <w:color w:val="002060"/>
              </w:rPr>
              <w:t xml:space="preserve">on sono </w:t>
            </w:r>
            <w:r>
              <w:rPr>
                <w:rFonts w:cstheme="minorHAnsi"/>
                <w:b/>
                <w:bCs/>
                <w:color w:val="002060"/>
              </w:rPr>
              <w:t>previste forme di</w:t>
            </w:r>
            <w:r w:rsidR="00DE5786" w:rsidRPr="00511AFE">
              <w:rPr>
                <w:rFonts w:cstheme="minorHAnsi"/>
                <w:b/>
                <w:bCs/>
                <w:color w:val="002060"/>
              </w:rPr>
              <w:t xml:space="preserve"> esonero per chi deve frequentare il corso</w:t>
            </w:r>
            <w:r w:rsidR="00500E63">
              <w:rPr>
                <w:rFonts w:cstheme="minorHAnsi"/>
                <w:b/>
                <w:bCs/>
                <w:color w:val="002060"/>
              </w:rPr>
              <w:t>.</w:t>
            </w:r>
          </w:p>
          <w:p w14:paraId="1E2A1318" w14:textId="77777777" w:rsidR="00DE5786" w:rsidRPr="00511AFE" w:rsidRDefault="00DE5786" w:rsidP="00E95B7E">
            <w:pPr>
              <w:jc w:val="both"/>
              <w:rPr>
                <w:rFonts w:cstheme="minorHAnsi"/>
                <w:b/>
                <w:bCs/>
                <w:color w:val="002060"/>
              </w:rPr>
            </w:pPr>
          </w:p>
          <w:p w14:paraId="03D4BF38" w14:textId="77623C11" w:rsidR="00DE5786" w:rsidRPr="009E4161" w:rsidRDefault="00DE5786" w:rsidP="00E95B7E">
            <w:pPr>
              <w:autoSpaceDE w:val="0"/>
              <w:autoSpaceDN w:val="0"/>
              <w:adjustRightInd w:val="0"/>
              <w:jc w:val="both"/>
              <w:rPr>
                <w:rFonts w:cstheme="minorHAnsi"/>
                <w:b/>
                <w:bCs/>
                <w:i/>
                <w:iCs/>
                <w:sz w:val="24"/>
                <w:szCs w:val="24"/>
              </w:rPr>
            </w:pPr>
            <w:r w:rsidRPr="00C5166C">
              <w:rPr>
                <w:rFonts w:cstheme="minorHAnsi"/>
                <w:b/>
                <w:bCs/>
                <w:color w:val="002060"/>
              </w:rPr>
              <w:t xml:space="preserve">I criteri </w:t>
            </w:r>
            <w:r>
              <w:rPr>
                <w:rFonts w:cstheme="minorHAnsi"/>
                <w:b/>
                <w:bCs/>
                <w:color w:val="002060"/>
              </w:rPr>
              <w:t xml:space="preserve">e </w:t>
            </w:r>
            <w:r w:rsidR="00500E63">
              <w:rPr>
                <w:rFonts w:cstheme="minorHAnsi"/>
                <w:b/>
                <w:bCs/>
                <w:color w:val="002060"/>
              </w:rPr>
              <w:t xml:space="preserve">le </w:t>
            </w:r>
            <w:r>
              <w:rPr>
                <w:rFonts w:cstheme="minorHAnsi"/>
                <w:b/>
                <w:bCs/>
                <w:color w:val="002060"/>
              </w:rPr>
              <w:t xml:space="preserve">modalità </w:t>
            </w:r>
            <w:r w:rsidRPr="00C5166C">
              <w:rPr>
                <w:rFonts w:cstheme="minorHAnsi"/>
                <w:b/>
                <w:bCs/>
                <w:color w:val="002060"/>
              </w:rPr>
              <w:t>saranno stabiliti con decreto del Ministero dell’istruzione, da adottarsi entro 30 trenta giorni dall’entrata in vigore della Legge di Bilancio.</w:t>
            </w:r>
            <w:r w:rsidR="00E95B7E">
              <w:rPr>
                <w:rFonts w:cstheme="minorHAnsi"/>
                <w:b/>
                <w:bCs/>
                <w:color w:val="002060"/>
              </w:rPr>
              <w:br/>
            </w:r>
            <w:r w:rsidR="00E95B7E" w:rsidRPr="009E4161">
              <w:rPr>
                <w:rFonts w:cstheme="minorHAnsi"/>
                <w:b/>
                <w:bCs/>
                <w:i/>
                <w:iCs/>
                <w:sz w:val="24"/>
                <w:szCs w:val="24"/>
              </w:rPr>
              <w:lastRenderedPageBreak/>
              <w:t>La materia e regolata dal contratto e se si introduce un non meglio precisato, obbligo di formazione</w:t>
            </w:r>
            <w:r w:rsidR="009E4161">
              <w:rPr>
                <w:rFonts w:cstheme="minorHAnsi"/>
                <w:b/>
                <w:bCs/>
                <w:i/>
                <w:iCs/>
                <w:sz w:val="24"/>
                <w:szCs w:val="24"/>
              </w:rPr>
              <w:t>,</w:t>
            </w:r>
            <w:r w:rsidR="00E95B7E" w:rsidRPr="009E4161">
              <w:rPr>
                <w:rFonts w:cstheme="minorHAnsi"/>
                <w:b/>
                <w:bCs/>
                <w:i/>
                <w:iCs/>
                <w:sz w:val="24"/>
                <w:szCs w:val="24"/>
              </w:rPr>
              <w:t xml:space="preserve"> che ci riporta alla legge 107, si avvia l’ennesima invasione di campo nella materia contrattuale</w:t>
            </w:r>
            <w:r w:rsidR="009E4161">
              <w:rPr>
                <w:rFonts w:cstheme="minorHAnsi"/>
                <w:b/>
                <w:bCs/>
                <w:i/>
                <w:iCs/>
                <w:sz w:val="24"/>
                <w:szCs w:val="24"/>
              </w:rPr>
              <w:t>.</w:t>
            </w:r>
          </w:p>
          <w:p w14:paraId="70F6BEF0" w14:textId="77777777" w:rsidR="00DE5786" w:rsidRPr="00511AFE" w:rsidRDefault="00DE5786" w:rsidP="00E95B7E">
            <w:pPr>
              <w:jc w:val="both"/>
              <w:rPr>
                <w:rFonts w:cstheme="minorHAnsi"/>
                <w:b/>
                <w:bCs/>
                <w:color w:val="002060"/>
              </w:rPr>
            </w:pPr>
          </w:p>
        </w:tc>
      </w:tr>
      <w:tr w:rsidR="00DE5786" w:rsidRPr="00511AFE" w14:paraId="62906017" w14:textId="77777777" w:rsidTr="00E95B7E">
        <w:trPr>
          <w:trHeight w:val="330"/>
        </w:trPr>
        <w:tc>
          <w:tcPr>
            <w:tcW w:w="5228" w:type="dxa"/>
            <w:vMerge w:val="restart"/>
          </w:tcPr>
          <w:p w14:paraId="436AC56C" w14:textId="017C9979" w:rsidR="00DE5786" w:rsidRPr="00BF2885" w:rsidRDefault="00DE5786" w:rsidP="00E95B7E">
            <w:pPr>
              <w:autoSpaceDE w:val="0"/>
              <w:autoSpaceDN w:val="0"/>
              <w:adjustRightInd w:val="0"/>
              <w:jc w:val="both"/>
              <w:rPr>
                <w:rFonts w:cstheme="minorHAnsi"/>
                <w:b/>
                <w:bCs/>
                <w:i/>
                <w:iCs/>
                <w:color w:val="002060"/>
              </w:rPr>
            </w:pPr>
            <w:r w:rsidRPr="00BF2885">
              <w:rPr>
                <w:rFonts w:cstheme="minorHAnsi"/>
                <w:b/>
                <w:bCs/>
                <w:i/>
                <w:iCs/>
                <w:color w:val="002060"/>
              </w:rPr>
              <w:lastRenderedPageBreak/>
              <w:t xml:space="preserve">Comma </w:t>
            </w:r>
            <w:r>
              <w:rPr>
                <w:rFonts w:cstheme="minorHAnsi"/>
                <w:b/>
                <w:bCs/>
                <w:i/>
                <w:iCs/>
                <w:color w:val="002060"/>
              </w:rPr>
              <w:t>3</w:t>
            </w:r>
          </w:p>
          <w:p w14:paraId="6FD814BA" w14:textId="5F8A7B23" w:rsidR="00DE5786" w:rsidRPr="00511AFE" w:rsidRDefault="00DE5786" w:rsidP="00E95B7E">
            <w:pPr>
              <w:autoSpaceDE w:val="0"/>
              <w:autoSpaceDN w:val="0"/>
              <w:adjustRightInd w:val="0"/>
              <w:jc w:val="both"/>
              <w:rPr>
                <w:rFonts w:cstheme="minorHAnsi"/>
                <w:color w:val="002060"/>
              </w:rPr>
            </w:pPr>
            <w:r w:rsidRPr="00511AFE">
              <w:rPr>
                <w:rFonts w:cstheme="minorHAnsi"/>
                <w:color w:val="002060"/>
              </w:rPr>
              <w:t>Al fine di realizzare l’inclusione scolastica degli alunni con disabilità, per ciascuno degli anni scolastici</w:t>
            </w:r>
            <w:r>
              <w:rPr>
                <w:rFonts w:cstheme="minorHAnsi"/>
                <w:color w:val="002060"/>
              </w:rPr>
              <w:t xml:space="preserve"> </w:t>
            </w:r>
            <w:r w:rsidRPr="00511AFE">
              <w:rPr>
                <w:rFonts w:cstheme="minorHAnsi"/>
                <w:color w:val="002060"/>
              </w:rPr>
              <w:t>2021/2022, 2022/2023 e 2023/2024 sono stanziati 10 milioni di euro per l’acquisto e la manutenzione di attrezzature tecniche e sussidi didattici di cui all'articolo 13, comma 1, lettera b) della legge 5 febbraio 1992, n. 104 e per l’acquisizione di servizi necessari al loro miglior utilizzo, per le istituzioni scolastiche che accolgano alunni con disabilità certificata ai sensi della legge 5 febbraio 1992, n. 104. Con decreto del Ministero dell’Istruzione, da emanare entro sessanta giorni dall’entrata in vigore della presente legge sono disciplinati criteri e modalità di assegnazione delle risorse dedicate e i relativi monitoraggi.</w:t>
            </w:r>
          </w:p>
          <w:p w14:paraId="6212C962" w14:textId="77777777" w:rsidR="00DE5786" w:rsidRPr="00511AFE" w:rsidRDefault="00DE5786" w:rsidP="00E95B7E">
            <w:pPr>
              <w:jc w:val="both"/>
              <w:rPr>
                <w:rFonts w:cstheme="minorHAnsi"/>
                <w:color w:val="002060"/>
              </w:rPr>
            </w:pPr>
          </w:p>
        </w:tc>
        <w:tc>
          <w:tcPr>
            <w:tcW w:w="5228" w:type="dxa"/>
            <w:shd w:val="clear" w:color="auto" w:fill="FFC000"/>
          </w:tcPr>
          <w:p w14:paraId="601F1602" w14:textId="35B589C0" w:rsidR="00DE5786" w:rsidRPr="004F316B" w:rsidRDefault="00DE5786" w:rsidP="00E95B7E">
            <w:pPr>
              <w:jc w:val="center"/>
              <w:rPr>
                <w:rFonts w:cstheme="minorHAnsi"/>
                <w:b/>
                <w:bCs/>
                <w:color w:val="002060"/>
                <w:sz w:val="24"/>
                <w:szCs w:val="24"/>
              </w:rPr>
            </w:pPr>
            <w:r w:rsidRPr="004F316B">
              <w:rPr>
                <w:rFonts w:cstheme="minorHAnsi"/>
                <w:b/>
                <w:bCs/>
                <w:color w:val="002060"/>
                <w:sz w:val="24"/>
                <w:szCs w:val="24"/>
              </w:rPr>
              <w:t>Sussidi didattici per alunni con disabilità</w:t>
            </w:r>
          </w:p>
          <w:p w14:paraId="05C49B8F" w14:textId="3600C361" w:rsidR="00DE5786" w:rsidRPr="00511AFE" w:rsidRDefault="00DE5786" w:rsidP="00E95B7E">
            <w:pPr>
              <w:jc w:val="both"/>
              <w:rPr>
                <w:rFonts w:cstheme="minorHAnsi"/>
                <w:color w:val="002060"/>
              </w:rPr>
            </w:pPr>
          </w:p>
        </w:tc>
      </w:tr>
      <w:tr w:rsidR="00DE5786" w:rsidRPr="00511AFE" w14:paraId="2CEC45DF" w14:textId="77777777" w:rsidTr="00E95B7E">
        <w:trPr>
          <w:trHeight w:val="3960"/>
        </w:trPr>
        <w:tc>
          <w:tcPr>
            <w:tcW w:w="5228" w:type="dxa"/>
            <w:vMerge/>
          </w:tcPr>
          <w:p w14:paraId="55BE8CD9" w14:textId="77777777" w:rsidR="00DE5786" w:rsidRPr="00BF2885" w:rsidRDefault="00DE5786" w:rsidP="00E95B7E">
            <w:pPr>
              <w:autoSpaceDE w:val="0"/>
              <w:autoSpaceDN w:val="0"/>
              <w:adjustRightInd w:val="0"/>
              <w:jc w:val="both"/>
              <w:rPr>
                <w:rFonts w:cstheme="minorHAnsi"/>
                <w:b/>
                <w:bCs/>
                <w:i/>
                <w:iCs/>
                <w:color w:val="002060"/>
              </w:rPr>
            </w:pPr>
          </w:p>
        </w:tc>
        <w:tc>
          <w:tcPr>
            <w:tcW w:w="5228" w:type="dxa"/>
          </w:tcPr>
          <w:p w14:paraId="1265C3AA" w14:textId="77777777" w:rsidR="004F316B" w:rsidRDefault="004F316B" w:rsidP="00E95B7E">
            <w:pPr>
              <w:jc w:val="both"/>
              <w:rPr>
                <w:rFonts w:cstheme="minorHAnsi"/>
                <w:b/>
                <w:bCs/>
                <w:color w:val="002060"/>
              </w:rPr>
            </w:pPr>
          </w:p>
          <w:p w14:paraId="0A2E4A7D" w14:textId="2BBE332D" w:rsidR="00DE5786" w:rsidRPr="00C5166C" w:rsidRDefault="00DE5786" w:rsidP="00E95B7E">
            <w:pPr>
              <w:jc w:val="both"/>
              <w:rPr>
                <w:rFonts w:cstheme="minorHAnsi"/>
                <w:b/>
                <w:bCs/>
                <w:color w:val="002060"/>
              </w:rPr>
            </w:pPr>
            <w:r w:rsidRPr="00C5166C">
              <w:rPr>
                <w:rFonts w:cstheme="minorHAnsi"/>
                <w:b/>
                <w:bCs/>
                <w:color w:val="002060"/>
              </w:rPr>
              <w:t>Sono previsti in totale 30 milioni di euro per il triennio 20/21 (10 milioni)</w:t>
            </w:r>
            <w:r>
              <w:rPr>
                <w:rFonts w:cstheme="minorHAnsi"/>
                <w:b/>
                <w:bCs/>
                <w:color w:val="002060"/>
              </w:rPr>
              <w:t xml:space="preserve"> </w:t>
            </w:r>
            <w:r w:rsidRPr="00C5166C">
              <w:rPr>
                <w:rFonts w:cstheme="minorHAnsi"/>
                <w:b/>
                <w:bCs/>
                <w:color w:val="002060"/>
              </w:rPr>
              <w:t>-21/22 (10 milioni) -22/23 (10 milioni) finalizzato all’acquisto e a</w:t>
            </w:r>
            <w:r w:rsidR="00D55700">
              <w:rPr>
                <w:rFonts w:cstheme="minorHAnsi"/>
                <w:b/>
                <w:bCs/>
                <w:color w:val="002060"/>
              </w:rPr>
              <w:t>lla</w:t>
            </w:r>
            <w:r w:rsidRPr="00C5166C">
              <w:rPr>
                <w:rFonts w:cstheme="minorHAnsi"/>
                <w:b/>
                <w:bCs/>
                <w:color w:val="002060"/>
              </w:rPr>
              <w:t xml:space="preserve"> manutenzione</w:t>
            </w:r>
            <w:r>
              <w:rPr>
                <w:rFonts w:cstheme="minorHAnsi"/>
                <w:b/>
                <w:bCs/>
                <w:color w:val="002060"/>
              </w:rPr>
              <w:t xml:space="preserve"> di sussidi didattici per le scuole che accolgono gli alunni con disabilità.</w:t>
            </w:r>
          </w:p>
        </w:tc>
      </w:tr>
      <w:tr w:rsidR="00DE5786" w:rsidRPr="00511AFE" w14:paraId="11AF4987" w14:textId="77777777" w:rsidTr="00E95B7E">
        <w:trPr>
          <w:trHeight w:val="300"/>
        </w:trPr>
        <w:tc>
          <w:tcPr>
            <w:tcW w:w="5228" w:type="dxa"/>
            <w:vMerge w:val="restart"/>
          </w:tcPr>
          <w:p w14:paraId="24187A52" w14:textId="19B4CD5A" w:rsidR="00DE5786" w:rsidRPr="00BF2885" w:rsidRDefault="00DE5786" w:rsidP="00E95B7E">
            <w:pPr>
              <w:autoSpaceDE w:val="0"/>
              <w:autoSpaceDN w:val="0"/>
              <w:adjustRightInd w:val="0"/>
              <w:jc w:val="both"/>
              <w:rPr>
                <w:rFonts w:cstheme="minorHAnsi"/>
                <w:b/>
                <w:bCs/>
                <w:i/>
                <w:iCs/>
                <w:color w:val="002060"/>
              </w:rPr>
            </w:pPr>
            <w:r w:rsidRPr="00BF2885">
              <w:rPr>
                <w:rFonts w:cstheme="minorHAnsi"/>
                <w:b/>
                <w:bCs/>
                <w:i/>
                <w:iCs/>
                <w:color w:val="002060"/>
              </w:rPr>
              <w:t xml:space="preserve">Comma </w:t>
            </w:r>
            <w:r>
              <w:rPr>
                <w:rFonts w:cstheme="minorHAnsi"/>
                <w:b/>
                <w:bCs/>
                <w:i/>
                <w:iCs/>
                <w:color w:val="002060"/>
              </w:rPr>
              <w:t>4</w:t>
            </w:r>
          </w:p>
          <w:p w14:paraId="0528DEAB" w14:textId="31F0AA7B" w:rsidR="00DE5786" w:rsidRPr="00511AFE" w:rsidRDefault="00DE5786" w:rsidP="00E95B7E">
            <w:pPr>
              <w:autoSpaceDE w:val="0"/>
              <w:autoSpaceDN w:val="0"/>
              <w:adjustRightInd w:val="0"/>
              <w:jc w:val="both"/>
              <w:rPr>
                <w:rFonts w:cstheme="minorHAnsi"/>
                <w:color w:val="002060"/>
              </w:rPr>
            </w:pPr>
            <w:r w:rsidRPr="00511AFE">
              <w:rPr>
                <w:rFonts w:cstheme="minorHAnsi"/>
                <w:color w:val="002060"/>
              </w:rPr>
              <w:t>Al fine di regolare l’assegnazione delle risorse professionali di sostegno didattico e di assistenza</w:t>
            </w:r>
            <w:r>
              <w:rPr>
                <w:rFonts w:cstheme="minorHAnsi"/>
                <w:color w:val="002060"/>
              </w:rPr>
              <w:t xml:space="preserve"> </w:t>
            </w:r>
            <w:r w:rsidRPr="00511AFE">
              <w:rPr>
                <w:rFonts w:cstheme="minorHAnsi"/>
                <w:color w:val="002060"/>
              </w:rPr>
              <w:t>specialistica, agli alunni con disturbi specifici dell’apprendimento diagnosticati ai sensi della legge 8 ottobre</w:t>
            </w:r>
            <w:r>
              <w:rPr>
                <w:rFonts w:cstheme="minorHAnsi"/>
                <w:color w:val="002060"/>
              </w:rPr>
              <w:t xml:space="preserve"> </w:t>
            </w:r>
            <w:r w:rsidRPr="00511AFE">
              <w:rPr>
                <w:rFonts w:cstheme="minorHAnsi"/>
                <w:color w:val="002060"/>
              </w:rPr>
              <w:t>2010, n. 170 spettano esclusivamente le misure educative e didattiche di supporto di cui all’articolo 5 della</w:t>
            </w:r>
            <w:r>
              <w:rPr>
                <w:rFonts w:cstheme="minorHAnsi"/>
                <w:color w:val="002060"/>
              </w:rPr>
              <w:t xml:space="preserve"> </w:t>
            </w:r>
            <w:r w:rsidRPr="00511AFE">
              <w:rPr>
                <w:rFonts w:cstheme="minorHAnsi"/>
                <w:color w:val="002060"/>
              </w:rPr>
              <w:t>legge medesima, senza l’impiego delle risorse professionali di cui alla legge 5 febbraio 1992, n. 104 erogate</w:t>
            </w:r>
            <w:r>
              <w:rPr>
                <w:rFonts w:cstheme="minorHAnsi"/>
                <w:color w:val="002060"/>
              </w:rPr>
              <w:t xml:space="preserve"> </w:t>
            </w:r>
            <w:r w:rsidRPr="00511AFE">
              <w:rPr>
                <w:rFonts w:cstheme="minorHAnsi"/>
                <w:color w:val="002060"/>
              </w:rPr>
              <w:t>in attuazione dell’art. 3 del decreto legislativo 13 aprile 2017, n. 66.</w:t>
            </w:r>
          </w:p>
          <w:p w14:paraId="57C33376" w14:textId="77777777" w:rsidR="00DE5786" w:rsidRPr="00511AFE" w:rsidRDefault="00DE5786" w:rsidP="00E95B7E">
            <w:pPr>
              <w:jc w:val="both"/>
              <w:rPr>
                <w:rFonts w:cstheme="minorHAnsi"/>
                <w:color w:val="002060"/>
              </w:rPr>
            </w:pPr>
          </w:p>
        </w:tc>
        <w:tc>
          <w:tcPr>
            <w:tcW w:w="5228" w:type="dxa"/>
            <w:tcBorders>
              <w:bottom w:val="single" w:sz="4" w:space="0" w:color="auto"/>
            </w:tcBorders>
            <w:shd w:val="clear" w:color="auto" w:fill="FFC000"/>
          </w:tcPr>
          <w:p w14:paraId="716AF942" w14:textId="76DC9488" w:rsidR="00DE5786" w:rsidRPr="004F316B" w:rsidRDefault="00DE5786" w:rsidP="00E95B7E">
            <w:pPr>
              <w:jc w:val="center"/>
              <w:rPr>
                <w:rFonts w:cstheme="minorHAnsi"/>
                <w:b/>
                <w:bCs/>
                <w:color w:val="002060"/>
                <w:sz w:val="24"/>
                <w:szCs w:val="24"/>
              </w:rPr>
            </w:pPr>
            <w:r w:rsidRPr="004F316B">
              <w:rPr>
                <w:rFonts w:cstheme="minorHAnsi"/>
                <w:b/>
                <w:bCs/>
                <w:color w:val="002060"/>
                <w:sz w:val="24"/>
                <w:szCs w:val="24"/>
              </w:rPr>
              <w:t>Studenti con diagnosi DSA</w:t>
            </w:r>
          </w:p>
          <w:p w14:paraId="769A1F4A" w14:textId="34CFC250" w:rsidR="00DE5786" w:rsidRPr="009229B7" w:rsidRDefault="00DE5786" w:rsidP="00E95B7E">
            <w:pPr>
              <w:jc w:val="both"/>
              <w:rPr>
                <w:rFonts w:cstheme="minorHAnsi"/>
                <w:b/>
                <w:bCs/>
                <w:color w:val="002060"/>
              </w:rPr>
            </w:pPr>
          </w:p>
        </w:tc>
      </w:tr>
      <w:tr w:rsidR="00DE5786" w:rsidRPr="00511AFE" w14:paraId="2B1CABCD" w14:textId="77777777" w:rsidTr="00E95B7E">
        <w:trPr>
          <w:trHeight w:val="2910"/>
        </w:trPr>
        <w:tc>
          <w:tcPr>
            <w:tcW w:w="5228" w:type="dxa"/>
            <w:vMerge/>
          </w:tcPr>
          <w:p w14:paraId="53E487F6" w14:textId="77777777" w:rsidR="00DE5786" w:rsidRPr="00BF2885" w:rsidRDefault="00DE5786" w:rsidP="00E95B7E">
            <w:pPr>
              <w:autoSpaceDE w:val="0"/>
              <w:autoSpaceDN w:val="0"/>
              <w:adjustRightInd w:val="0"/>
              <w:jc w:val="both"/>
              <w:rPr>
                <w:rFonts w:cstheme="minorHAnsi"/>
                <w:b/>
                <w:bCs/>
                <w:i/>
                <w:iCs/>
                <w:color w:val="002060"/>
              </w:rPr>
            </w:pPr>
          </w:p>
        </w:tc>
        <w:tc>
          <w:tcPr>
            <w:tcW w:w="5228" w:type="dxa"/>
            <w:tcBorders>
              <w:bottom w:val="single" w:sz="4" w:space="0" w:color="auto"/>
            </w:tcBorders>
          </w:tcPr>
          <w:p w14:paraId="34708D19" w14:textId="77777777" w:rsidR="004F316B" w:rsidRDefault="004F316B" w:rsidP="00E95B7E">
            <w:pPr>
              <w:jc w:val="both"/>
              <w:rPr>
                <w:rFonts w:cstheme="minorHAnsi"/>
                <w:b/>
                <w:bCs/>
                <w:color w:val="002060"/>
              </w:rPr>
            </w:pPr>
          </w:p>
          <w:p w14:paraId="0140B998" w14:textId="2BCE0429" w:rsidR="00DE5786" w:rsidRPr="00B17D93" w:rsidRDefault="00DE5786" w:rsidP="00E95B7E">
            <w:pPr>
              <w:jc w:val="both"/>
              <w:rPr>
                <w:rFonts w:cstheme="minorHAnsi"/>
                <w:b/>
                <w:bCs/>
                <w:color w:val="002060"/>
              </w:rPr>
            </w:pPr>
            <w:r w:rsidRPr="009229B7">
              <w:rPr>
                <w:rFonts w:cstheme="minorHAnsi"/>
                <w:b/>
                <w:bCs/>
                <w:color w:val="002060"/>
              </w:rPr>
              <w:t>La misura interviene per rimarcare quanto già previsto dall’art. 5 della legge 8 ottobre 2010, n. 170</w:t>
            </w:r>
            <w:r w:rsidRPr="009229B7">
              <w:rPr>
                <w:b/>
                <w:bCs/>
                <w:color w:val="002060"/>
              </w:rPr>
              <w:t xml:space="preserve"> (</w:t>
            </w:r>
            <w:r w:rsidRPr="009229B7">
              <w:rPr>
                <w:b/>
                <w:bCs/>
                <w:i/>
                <w:iCs/>
                <w:color w:val="002060"/>
              </w:rPr>
              <w:t>Nuove norme in materia di disturbi specifici di apprendimento in ambito scolastico</w:t>
            </w:r>
            <w:r w:rsidRPr="009229B7">
              <w:rPr>
                <w:b/>
                <w:bCs/>
                <w:color w:val="002060"/>
              </w:rPr>
              <w:t>), ovvero che gli studenti con diagnosi di DSA hanno diritto a fruire di appositi provvedimenti dispensativi e compensativi di flessibilità didattica nel corso dei cicli di istruzione e formazione e negli studi universitari</w:t>
            </w:r>
            <w:r w:rsidR="00BC0824">
              <w:rPr>
                <w:b/>
                <w:bCs/>
                <w:color w:val="002060"/>
              </w:rPr>
              <w:t>.</w:t>
            </w:r>
            <w:r>
              <w:rPr>
                <w:b/>
                <w:bCs/>
                <w:color w:val="002060"/>
              </w:rPr>
              <w:t xml:space="preserve"> </w:t>
            </w:r>
            <w:r w:rsidR="00BC0824">
              <w:rPr>
                <w:b/>
                <w:bCs/>
                <w:color w:val="002060"/>
              </w:rPr>
              <w:t>Si</w:t>
            </w:r>
            <w:r>
              <w:rPr>
                <w:b/>
                <w:bCs/>
                <w:color w:val="002060"/>
              </w:rPr>
              <w:t xml:space="preserve"> specifica che </w:t>
            </w:r>
            <w:r w:rsidR="00BC0824">
              <w:rPr>
                <w:b/>
                <w:bCs/>
                <w:color w:val="002060"/>
              </w:rPr>
              <w:t xml:space="preserve">a tali fini </w:t>
            </w:r>
            <w:r>
              <w:rPr>
                <w:b/>
                <w:bCs/>
                <w:color w:val="002060"/>
              </w:rPr>
              <w:t xml:space="preserve">non si devono intaccare le risorse previste dalla legge </w:t>
            </w:r>
            <w:r w:rsidR="00BC0824">
              <w:rPr>
                <w:b/>
                <w:bCs/>
                <w:color w:val="002060"/>
              </w:rPr>
              <w:t xml:space="preserve">n. </w:t>
            </w:r>
            <w:r>
              <w:rPr>
                <w:b/>
                <w:bCs/>
                <w:color w:val="002060"/>
              </w:rPr>
              <w:t>104/92 per le persone con disabilità.</w:t>
            </w:r>
          </w:p>
        </w:tc>
      </w:tr>
      <w:tr w:rsidR="00DE5786" w:rsidRPr="00511AFE" w14:paraId="78C8C4FF" w14:textId="77777777" w:rsidTr="00E95B7E">
        <w:trPr>
          <w:trHeight w:val="630"/>
        </w:trPr>
        <w:tc>
          <w:tcPr>
            <w:tcW w:w="5228" w:type="dxa"/>
            <w:vMerge w:val="restart"/>
            <w:tcBorders>
              <w:right w:val="single" w:sz="4" w:space="0" w:color="auto"/>
            </w:tcBorders>
          </w:tcPr>
          <w:p w14:paraId="6CEBA6C5" w14:textId="156C5282" w:rsidR="00DE5786" w:rsidRPr="00BF2885" w:rsidRDefault="00DE5786" w:rsidP="00E95B7E">
            <w:pPr>
              <w:autoSpaceDE w:val="0"/>
              <w:autoSpaceDN w:val="0"/>
              <w:adjustRightInd w:val="0"/>
              <w:jc w:val="both"/>
              <w:rPr>
                <w:rFonts w:cstheme="minorHAnsi"/>
                <w:b/>
                <w:bCs/>
                <w:i/>
                <w:iCs/>
                <w:color w:val="002060"/>
              </w:rPr>
            </w:pPr>
            <w:r w:rsidRPr="00BF2885">
              <w:rPr>
                <w:rFonts w:cstheme="minorHAnsi"/>
                <w:b/>
                <w:bCs/>
                <w:i/>
                <w:iCs/>
                <w:color w:val="002060"/>
              </w:rPr>
              <w:t xml:space="preserve">Comma </w:t>
            </w:r>
            <w:r>
              <w:rPr>
                <w:rFonts w:cstheme="minorHAnsi"/>
                <w:b/>
                <w:bCs/>
                <w:i/>
                <w:iCs/>
                <w:color w:val="002060"/>
              </w:rPr>
              <w:t>5</w:t>
            </w:r>
          </w:p>
          <w:p w14:paraId="68758DE3" w14:textId="1CFFB6AC" w:rsidR="00DE5786" w:rsidRPr="00511AFE" w:rsidRDefault="00DE5786" w:rsidP="00E95B7E">
            <w:pPr>
              <w:autoSpaceDE w:val="0"/>
              <w:autoSpaceDN w:val="0"/>
              <w:adjustRightInd w:val="0"/>
              <w:jc w:val="both"/>
              <w:rPr>
                <w:rFonts w:cstheme="minorHAnsi"/>
                <w:color w:val="002060"/>
              </w:rPr>
            </w:pPr>
            <w:r w:rsidRPr="00511AFE">
              <w:rPr>
                <w:rFonts w:cstheme="minorHAnsi"/>
                <w:color w:val="002060"/>
              </w:rPr>
              <w:t>Al fine di trasformare a tempo pieno il contratto di lavoro di 4.485 collaboratori scolatici di cui all'articolo</w:t>
            </w:r>
            <w:r>
              <w:rPr>
                <w:rFonts w:cstheme="minorHAnsi"/>
                <w:color w:val="002060"/>
              </w:rPr>
              <w:t xml:space="preserve"> </w:t>
            </w:r>
            <w:r w:rsidRPr="00511AFE">
              <w:rPr>
                <w:rFonts w:cstheme="minorHAnsi"/>
                <w:color w:val="002060"/>
              </w:rPr>
              <w:t xml:space="preserve">58, </w:t>
            </w:r>
            <w:r w:rsidRPr="00511AFE">
              <w:rPr>
                <w:rFonts w:cstheme="minorHAnsi"/>
                <w:color w:val="002060"/>
              </w:rPr>
              <w:lastRenderedPageBreak/>
              <w:t>comma 5-ter, del decreto-legge 21 giugno 2013, n. 69, convertito con modificazioni dalla legge 9 agosto</w:t>
            </w:r>
            <w:r>
              <w:rPr>
                <w:rFonts w:cstheme="minorHAnsi"/>
                <w:color w:val="002060"/>
              </w:rPr>
              <w:t xml:space="preserve"> </w:t>
            </w:r>
            <w:r w:rsidRPr="00511AFE">
              <w:rPr>
                <w:rFonts w:cstheme="minorHAnsi"/>
                <w:color w:val="002060"/>
              </w:rPr>
              <w:t>2013, n. 98, assunti a decorrere dal 1° marzo 2020 in ruolo a tempo parziale, nonché di assumere, sino ad un</w:t>
            </w:r>
            <w:r>
              <w:rPr>
                <w:rFonts w:cstheme="minorHAnsi"/>
                <w:color w:val="002060"/>
              </w:rPr>
              <w:t xml:space="preserve"> </w:t>
            </w:r>
            <w:r w:rsidRPr="00511AFE">
              <w:rPr>
                <w:rFonts w:cstheme="minorHAnsi"/>
                <w:color w:val="002060"/>
              </w:rPr>
              <w:t>massimo di 45, a tempo pieno a decorrere dal 1° settembre 2021 coloro che nella medesima procedura selettiva</w:t>
            </w:r>
            <w:r>
              <w:rPr>
                <w:rFonts w:cstheme="minorHAnsi"/>
                <w:color w:val="002060"/>
              </w:rPr>
              <w:t xml:space="preserve"> </w:t>
            </w:r>
            <w:r w:rsidRPr="00511AFE">
              <w:rPr>
                <w:rFonts w:cstheme="minorHAnsi"/>
                <w:color w:val="002060"/>
              </w:rPr>
              <w:t>ai sensi del medesimo articolo e comma, siano risultati in sovrannumero nella provincia in virtù della propria</w:t>
            </w:r>
            <w:r>
              <w:rPr>
                <w:rFonts w:cstheme="minorHAnsi"/>
                <w:color w:val="002060"/>
              </w:rPr>
              <w:t xml:space="preserve"> </w:t>
            </w:r>
            <w:r w:rsidRPr="00511AFE">
              <w:rPr>
                <w:rFonts w:cstheme="minorHAnsi"/>
                <w:color w:val="002060"/>
              </w:rPr>
              <w:t>posizione in graduatoria, il Ministero dell’istruzione è autorizzato, oltre le ordinarie facoltà assunzionali, a</w:t>
            </w:r>
            <w:r>
              <w:rPr>
                <w:rFonts w:cstheme="minorHAnsi"/>
                <w:color w:val="002060"/>
              </w:rPr>
              <w:t xml:space="preserve"> </w:t>
            </w:r>
            <w:r w:rsidRPr="00511AFE">
              <w:rPr>
                <w:rFonts w:cstheme="minorHAnsi"/>
                <w:color w:val="002060"/>
              </w:rPr>
              <w:t>coprire 2.288 posti vacanti e disponibili nell’organico di diritto del personale amministrativo, tecnico ed</w:t>
            </w:r>
            <w:r>
              <w:rPr>
                <w:rFonts w:cstheme="minorHAnsi"/>
                <w:color w:val="002060"/>
              </w:rPr>
              <w:t xml:space="preserve"> </w:t>
            </w:r>
            <w:r w:rsidRPr="00511AFE">
              <w:rPr>
                <w:rFonts w:cstheme="minorHAnsi"/>
                <w:color w:val="002060"/>
              </w:rPr>
              <w:t>ausiliario e non coperti a tempo indeterminato nell’anno scolastico 2020/2021. Le supplenze eventualmente</w:t>
            </w:r>
            <w:r>
              <w:rPr>
                <w:rFonts w:cstheme="minorHAnsi"/>
                <w:color w:val="002060"/>
              </w:rPr>
              <w:t xml:space="preserve"> </w:t>
            </w:r>
            <w:r w:rsidRPr="00511AFE">
              <w:rPr>
                <w:rFonts w:cstheme="minorHAnsi"/>
                <w:color w:val="002060"/>
              </w:rPr>
              <w:t>conferite sui predetti posti prima dell’entrata in vigore della presente legge restano confermate per la durata</w:t>
            </w:r>
            <w:r>
              <w:rPr>
                <w:rFonts w:cstheme="minorHAnsi"/>
                <w:color w:val="002060"/>
              </w:rPr>
              <w:t xml:space="preserve"> </w:t>
            </w:r>
            <w:r w:rsidRPr="00511AFE">
              <w:rPr>
                <w:rFonts w:cstheme="minorHAnsi"/>
                <w:color w:val="002060"/>
              </w:rPr>
              <w:t>delle stesse. A tal fine è autorizzata la spesa di 56,17 milioni di euro nell’anno 2021, 56,91 milioni di euro per</w:t>
            </w:r>
          </w:p>
          <w:p w14:paraId="0CA48C66" w14:textId="0412973E" w:rsidR="00DE5786" w:rsidRPr="00511AFE" w:rsidRDefault="00DE5786" w:rsidP="00E95B7E">
            <w:pPr>
              <w:autoSpaceDE w:val="0"/>
              <w:autoSpaceDN w:val="0"/>
              <w:adjustRightInd w:val="0"/>
              <w:jc w:val="both"/>
              <w:rPr>
                <w:rFonts w:cstheme="minorHAnsi"/>
                <w:color w:val="002060"/>
              </w:rPr>
            </w:pPr>
            <w:r w:rsidRPr="00511AFE">
              <w:rPr>
                <w:rFonts w:cstheme="minorHAnsi"/>
                <w:color w:val="002060"/>
              </w:rPr>
              <w:t>ciascuno degli anni dal 2022 al 2028, 60,76 milioni di euro nell’anno 2029, 61,56 milioni di euro nell’anno</w:t>
            </w:r>
            <w:r>
              <w:rPr>
                <w:rFonts w:cstheme="minorHAnsi"/>
                <w:color w:val="002060"/>
              </w:rPr>
              <w:t xml:space="preserve"> </w:t>
            </w:r>
            <w:r w:rsidRPr="00511AFE">
              <w:rPr>
                <w:rFonts w:cstheme="minorHAnsi"/>
                <w:color w:val="002060"/>
              </w:rPr>
              <w:t>2030, e 61,62 milioni di euro a decorrere dal 2031</w:t>
            </w:r>
          </w:p>
        </w:tc>
        <w:tc>
          <w:tcPr>
            <w:tcW w:w="5228" w:type="dxa"/>
            <w:tcBorders>
              <w:top w:val="single" w:sz="4" w:space="0" w:color="auto"/>
              <w:left w:val="single" w:sz="4" w:space="0" w:color="auto"/>
              <w:bottom w:val="single" w:sz="4" w:space="0" w:color="auto"/>
              <w:right w:val="single" w:sz="4" w:space="0" w:color="auto"/>
            </w:tcBorders>
            <w:shd w:val="clear" w:color="auto" w:fill="FFC000"/>
          </w:tcPr>
          <w:p w14:paraId="4B4A2B17" w14:textId="63CCF332" w:rsidR="00DE5786" w:rsidRPr="00D55700" w:rsidRDefault="00DE5786" w:rsidP="00E95B7E">
            <w:pPr>
              <w:jc w:val="both"/>
              <w:rPr>
                <w:b/>
                <w:bCs/>
                <w:color w:val="002060"/>
                <w:sz w:val="24"/>
                <w:szCs w:val="24"/>
              </w:rPr>
            </w:pPr>
            <w:r w:rsidRPr="00D55700">
              <w:rPr>
                <w:b/>
                <w:bCs/>
                <w:color w:val="002060"/>
                <w:sz w:val="24"/>
                <w:szCs w:val="24"/>
              </w:rPr>
              <w:lastRenderedPageBreak/>
              <w:t xml:space="preserve">Contratti di lavoro a tempo pieno per i collaboratori scolatici ex LSU </w:t>
            </w:r>
          </w:p>
          <w:p w14:paraId="1FAADC0E" w14:textId="6B4D2FC8" w:rsidR="00DE5786" w:rsidRPr="00A670A0" w:rsidRDefault="00DE5786" w:rsidP="00E95B7E">
            <w:pPr>
              <w:jc w:val="both"/>
              <w:rPr>
                <w:rFonts w:cstheme="minorHAnsi"/>
                <w:b/>
                <w:bCs/>
                <w:color w:val="002060"/>
              </w:rPr>
            </w:pPr>
          </w:p>
        </w:tc>
      </w:tr>
      <w:tr w:rsidR="00DE5786" w:rsidRPr="00511AFE" w14:paraId="798C7B70" w14:textId="77777777" w:rsidTr="00E95B7E">
        <w:trPr>
          <w:trHeight w:val="3135"/>
        </w:trPr>
        <w:tc>
          <w:tcPr>
            <w:tcW w:w="5228" w:type="dxa"/>
            <w:vMerge/>
            <w:tcBorders>
              <w:right w:val="single" w:sz="4" w:space="0" w:color="auto"/>
            </w:tcBorders>
          </w:tcPr>
          <w:p w14:paraId="7A42F61D" w14:textId="77777777" w:rsidR="00DE5786" w:rsidRPr="00BF2885" w:rsidRDefault="00DE5786" w:rsidP="00E95B7E">
            <w:pPr>
              <w:autoSpaceDE w:val="0"/>
              <w:autoSpaceDN w:val="0"/>
              <w:adjustRightInd w:val="0"/>
              <w:jc w:val="both"/>
              <w:rPr>
                <w:rFonts w:cstheme="minorHAnsi"/>
                <w:b/>
                <w:bCs/>
                <w:i/>
                <w:iCs/>
                <w:color w:val="002060"/>
              </w:rPr>
            </w:pPr>
          </w:p>
        </w:tc>
        <w:tc>
          <w:tcPr>
            <w:tcW w:w="5228" w:type="dxa"/>
            <w:tcBorders>
              <w:top w:val="single" w:sz="4" w:space="0" w:color="auto"/>
              <w:left w:val="single" w:sz="4" w:space="0" w:color="auto"/>
              <w:bottom w:val="single" w:sz="4" w:space="0" w:color="auto"/>
              <w:right w:val="single" w:sz="4" w:space="0" w:color="auto"/>
            </w:tcBorders>
          </w:tcPr>
          <w:p w14:paraId="39423506" w14:textId="77777777" w:rsidR="00BC0824" w:rsidRDefault="00BC0824" w:rsidP="00E95B7E">
            <w:pPr>
              <w:jc w:val="both"/>
              <w:rPr>
                <w:rFonts w:cstheme="minorHAnsi"/>
                <w:b/>
                <w:bCs/>
                <w:color w:val="002060"/>
              </w:rPr>
            </w:pPr>
          </w:p>
          <w:p w14:paraId="2CA9D365" w14:textId="77A61360" w:rsidR="00DE5786" w:rsidRDefault="00DE5786" w:rsidP="00E95B7E">
            <w:pPr>
              <w:jc w:val="both"/>
              <w:rPr>
                <w:rFonts w:cstheme="minorHAnsi"/>
                <w:b/>
                <w:bCs/>
                <w:color w:val="002060"/>
              </w:rPr>
            </w:pPr>
            <w:r>
              <w:rPr>
                <w:rFonts w:cstheme="minorHAnsi"/>
                <w:b/>
                <w:bCs/>
                <w:color w:val="002060"/>
              </w:rPr>
              <w:t xml:space="preserve">Possibilità di attribuire un contratto di lavoro a tempo pieno (36 ore) a 4.530 collaboratori scolastici così divisi: </w:t>
            </w:r>
          </w:p>
          <w:p w14:paraId="0A1FA45C" w14:textId="77777777" w:rsidR="00DE5786" w:rsidRDefault="00DE5786" w:rsidP="00E95B7E">
            <w:pPr>
              <w:jc w:val="both"/>
              <w:rPr>
                <w:rFonts w:cstheme="minorHAnsi"/>
                <w:b/>
                <w:bCs/>
                <w:color w:val="002060"/>
              </w:rPr>
            </w:pPr>
          </w:p>
          <w:p w14:paraId="7AF108A7" w14:textId="1B64DDB5" w:rsidR="00DE5786" w:rsidRPr="00A77121" w:rsidRDefault="00DE5786" w:rsidP="00E95B7E">
            <w:pPr>
              <w:pStyle w:val="Paragrafoelenco"/>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heme="minorHAnsi"/>
                <w:b/>
                <w:bCs/>
                <w:color w:val="002060"/>
              </w:rPr>
            </w:pPr>
            <w:r w:rsidRPr="00A77121">
              <w:rPr>
                <w:rFonts w:cstheme="minorHAnsi"/>
                <w:b/>
                <w:bCs/>
                <w:color w:val="002060"/>
              </w:rPr>
              <w:t>con decorrenza 1</w:t>
            </w:r>
            <w:r w:rsidR="00BC0824">
              <w:rPr>
                <w:rFonts w:cstheme="minorHAnsi"/>
                <w:b/>
                <w:bCs/>
                <w:color w:val="002060"/>
              </w:rPr>
              <w:t xml:space="preserve"> </w:t>
            </w:r>
            <w:r w:rsidRPr="00A77121">
              <w:rPr>
                <w:rFonts w:cstheme="minorHAnsi"/>
                <w:b/>
                <w:bCs/>
                <w:color w:val="002060"/>
              </w:rPr>
              <w:t xml:space="preserve">gennaio 2021 </w:t>
            </w:r>
            <w:r>
              <w:rPr>
                <w:rFonts w:cstheme="minorHAnsi"/>
                <w:b/>
                <w:bCs/>
                <w:color w:val="002060"/>
              </w:rPr>
              <w:t>per i</w:t>
            </w:r>
            <w:r w:rsidRPr="00A77121">
              <w:rPr>
                <w:rFonts w:cstheme="minorHAnsi"/>
                <w:b/>
                <w:bCs/>
                <w:color w:val="002060"/>
              </w:rPr>
              <w:t xml:space="preserve"> 4.485</w:t>
            </w:r>
            <w:r>
              <w:rPr>
                <w:rFonts w:cstheme="minorHAnsi"/>
                <w:b/>
                <w:bCs/>
                <w:color w:val="002060"/>
              </w:rPr>
              <w:t xml:space="preserve"> collaboratori </w:t>
            </w:r>
            <w:r w:rsidRPr="00A77121">
              <w:rPr>
                <w:rFonts w:cstheme="minorHAnsi"/>
                <w:b/>
                <w:bCs/>
                <w:color w:val="002060"/>
              </w:rPr>
              <w:t xml:space="preserve">già assunti a tempo parziale </w:t>
            </w:r>
            <w:r w:rsidR="00D55700">
              <w:rPr>
                <w:rFonts w:cstheme="minorHAnsi"/>
                <w:b/>
                <w:bCs/>
                <w:color w:val="002060"/>
              </w:rPr>
              <w:t xml:space="preserve">(18 ore) </w:t>
            </w:r>
            <w:r w:rsidRPr="00A77121">
              <w:rPr>
                <w:rFonts w:cstheme="minorHAnsi"/>
                <w:b/>
                <w:bCs/>
                <w:color w:val="002060"/>
              </w:rPr>
              <w:t>dal 1° marzo 2020;</w:t>
            </w:r>
          </w:p>
          <w:p w14:paraId="0BE5E775" w14:textId="4985C2E6" w:rsidR="00DE5786" w:rsidRDefault="00DE5786" w:rsidP="00E95B7E">
            <w:pPr>
              <w:pStyle w:val="Paragrafoelenco"/>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heme="minorHAnsi"/>
                <w:b/>
                <w:bCs/>
                <w:color w:val="002060"/>
              </w:rPr>
            </w:pPr>
            <w:r w:rsidRPr="00A77121">
              <w:rPr>
                <w:rFonts w:cstheme="minorHAnsi"/>
                <w:b/>
                <w:bCs/>
                <w:color w:val="002060"/>
              </w:rPr>
              <w:t xml:space="preserve">con </w:t>
            </w:r>
            <w:r>
              <w:rPr>
                <w:rFonts w:cstheme="minorHAnsi"/>
                <w:b/>
                <w:bCs/>
                <w:color w:val="002060"/>
              </w:rPr>
              <w:t xml:space="preserve">decorrenza </w:t>
            </w:r>
            <w:r w:rsidRPr="00A77121">
              <w:rPr>
                <w:rFonts w:cstheme="minorHAnsi"/>
                <w:b/>
                <w:bCs/>
                <w:color w:val="002060"/>
              </w:rPr>
              <w:t>1</w:t>
            </w:r>
            <w:r w:rsidR="006A03E4">
              <w:rPr>
                <w:rFonts w:cstheme="minorHAnsi"/>
                <w:b/>
                <w:bCs/>
                <w:color w:val="002060"/>
              </w:rPr>
              <w:t xml:space="preserve"> </w:t>
            </w:r>
            <w:r w:rsidRPr="00A77121">
              <w:rPr>
                <w:rFonts w:cstheme="minorHAnsi"/>
                <w:b/>
                <w:bCs/>
                <w:color w:val="002060"/>
              </w:rPr>
              <w:t xml:space="preserve">settembre 2021 </w:t>
            </w:r>
            <w:r>
              <w:rPr>
                <w:rFonts w:cstheme="minorHAnsi"/>
                <w:b/>
                <w:bCs/>
                <w:color w:val="002060"/>
              </w:rPr>
              <w:t>per</w:t>
            </w:r>
            <w:r w:rsidRPr="00A77121">
              <w:rPr>
                <w:rFonts w:cstheme="minorHAnsi"/>
                <w:b/>
                <w:bCs/>
                <w:color w:val="002060"/>
              </w:rPr>
              <w:t xml:space="preserve"> 45 </w:t>
            </w:r>
            <w:r>
              <w:rPr>
                <w:rFonts w:cstheme="minorHAnsi"/>
                <w:b/>
                <w:bCs/>
                <w:color w:val="002060"/>
              </w:rPr>
              <w:t xml:space="preserve">collaboratori </w:t>
            </w:r>
            <w:r w:rsidRPr="00A77121">
              <w:rPr>
                <w:rFonts w:cstheme="minorHAnsi"/>
                <w:b/>
                <w:bCs/>
                <w:color w:val="002060"/>
              </w:rPr>
              <w:t>da assumere dall’a.s</w:t>
            </w:r>
            <w:r>
              <w:rPr>
                <w:rFonts w:cstheme="minorHAnsi"/>
                <w:b/>
                <w:bCs/>
                <w:color w:val="002060"/>
              </w:rPr>
              <w:t>.</w:t>
            </w:r>
            <w:r w:rsidRPr="00A77121">
              <w:rPr>
                <w:rFonts w:cstheme="minorHAnsi"/>
                <w:b/>
                <w:bCs/>
                <w:color w:val="002060"/>
              </w:rPr>
              <w:t xml:space="preserve"> 2020/21</w:t>
            </w:r>
            <w:r>
              <w:rPr>
                <w:rFonts w:cstheme="minorHAnsi"/>
                <w:b/>
                <w:bCs/>
                <w:color w:val="002060"/>
              </w:rPr>
              <w:t>.</w:t>
            </w:r>
          </w:p>
          <w:p w14:paraId="0DED1F7D" w14:textId="77777777" w:rsidR="00DE5786" w:rsidRDefault="00DE5786" w:rsidP="00E95B7E">
            <w:pPr>
              <w:pStyle w:val="Paragrafoelenco"/>
              <w:jc w:val="both"/>
              <w:rPr>
                <w:rFonts w:cstheme="minorHAnsi"/>
                <w:b/>
                <w:bCs/>
                <w:color w:val="002060"/>
              </w:rPr>
            </w:pPr>
          </w:p>
          <w:p w14:paraId="439319E2" w14:textId="1A62ED2E" w:rsidR="00DE5786" w:rsidRPr="00D0166B" w:rsidRDefault="00DE5786" w:rsidP="00E95B7E">
            <w:pPr>
              <w:jc w:val="both"/>
              <w:rPr>
                <w:rFonts w:cstheme="minorHAnsi"/>
                <w:b/>
                <w:bCs/>
                <w:i/>
                <w:iCs/>
                <w:color w:val="002060"/>
              </w:rPr>
            </w:pPr>
            <w:r>
              <w:rPr>
                <w:rFonts w:cstheme="minorHAnsi"/>
                <w:b/>
                <w:bCs/>
                <w:color w:val="002060"/>
              </w:rPr>
              <w:t>Nella determinazione del numero di unità da ricomprendere sono considerati anche 45 collaboratori scolastici che, pur trovandosi iscritti nelle graduatorie finali pubblicate in esito alla procedura di internalizzazione, non sono stati immessi in ruolo per carenza del posto nella provincia di appartenenza. Infatti, anche a seguito della recente procedura nazionale di mobilità espletata in favore di questi lavoratori, restano 45 persone nella predetta posizione.</w:t>
            </w:r>
            <w:r w:rsidR="00E95B7E">
              <w:rPr>
                <w:rFonts w:cstheme="minorHAnsi"/>
                <w:b/>
                <w:bCs/>
                <w:color w:val="002060"/>
              </w:rPr>
              <w:br/>
            </w:r>
            <w:r w:rsidR="00E95B7E">
              <w:rPr>
                <w:rFonts w:cstheme="minorHAnsi"/>
                <w:b/>
                <w:bCs/>
                <w:color w:val="002060"/>
              </w:rPr>
              <w:br/>
            </w:r>
          </w:p>
          <w:p w14:paraId="7D54C239" w14:textId="2E8F8E0E" w:rsidR="00DE5786" w:rsidRPr="00171DE1" w:rsidRDefault="00DE5786" w:rsidP="00E95B7E">
            <w:pPr>
              <w:shd w:val="clear" w:color="auto" w:fill="FFC000"/>
              <w:jc w:val="center"/>
              <w:rPr>
                <w:rFonts w:cstheme="minorHAnsi"/>
                <w:b/>
                <w:bCs/>
                <w:color w:val="002060"/>
                <w:sz w:val="24"/>
                <w:szCs w:val="24"/>
              </w:rPr>
            </w:pPr>
            <w:r w:rsidRPr="00171DE1">
              <w:rPr>
                <w:rFonts w:cstheme="minorHAnsi"/>
                <w:b/>
                <w:bCs/>
                <w:color w:val="002060"/>
                <w:sz w:val="24"/>
                <w:szCs w:val="24"/>
              </w:rPr>
              <w:t>Personale amministrativo, tecnico e ausiliario</w:t>
            </w:r>
          </w:p>
          <w:p w14:paraId="37ABFDB8" w14:textId="77777777" w:rsidR="00DE5786" w:rsidRPr="00171DE1" w:rsidRDefault="00DE5786" w:rsidP="00E95B7E">
            <w:pPr>
              <w:shd w:val="clear" w:color="auto" w:fill="FFC000"/>
              <w:jc w:val="center"/>
              <w:rPr>
                <w:rFonts w:cstheme="minorHAnsi"/>
                <w:b/>
                <w:bCs/>
                <w:color w:val="002060"/>
                <w:sz w:val="24"/>
                <w:szCs w:val="24"/>
              </w:rPr>
            </w:pPr>
          </w:p>
          <w:p w14:paraId="561FDA2F" w14:textId="77777777" w:rsidR="00171DE1" w:rsidRDefault="00171DE1" w:rsidP="00E95B7E">
            <w:pPr>
              <w:jc w:val="both"/>
              <w:rPr>
                <w:rFonts w:cstheme="minorHAnsi"/>
                <w:b/>
                <w:bCs/>
                <w:color w:val="002060"/>
              </w:rPr>
            </w:pPr>
          </w:p>
          <w:p w14:paraId="5C313CCE" w14:textId="73E65A88" w:rsidR="00DE5786" w:rsidRPr="001E06F9" w:rsidRDefault="00DE5786" w:rsidP="00E95B7E">
            <w:pPr>
              <w:jc w:val="both"/>
              <w:rPr>
                <w:rFonts w:cstheme="minorHAnsi"/>
                <w:b/>
                <w:bCs/>
                <w:color w:val="002060"/>
              </w:rPr>
            </w:pPr>
            <w:r w:rsidRPr="001E06F9">
              <w:rPr>
                <w:rFonts w:cstheme="minorHAnsi"/>
                <w:b/>
                <w:bCs/>
                <w:color w:val="002060"/>
              </w:rPr>
              <w:t>Sono inoltre previst</w:t>
            </w:r>
            <w:r>
              <w:rPr>
                <w:rFonts w:cstheme="minorHAnsi"/>
                <w:b/>
                <w:bCs/>
                <w:color w:val="002060"/>
              </w:rPr>
              <w:t>e</w:t>
            </w:r>
            <w:r w:rsidRPr="001E06F9">
              <w:rPr>
                <w:rFonts w:cstheme="minorHAnsi"/>
                <w:b/>
                <w:bCs/>
                <w:color w:val="002060"/>
              </w:rPr>
              <w:t xml:space="preserve"> 2.288 assunzioni</w:t>
            </w:r>
            <w:r>
              <w:rPr>
                <w:rFonts w:cstheme="minorHAnsi"/>
                <w:b/>
                <w:bCs/>
                <w:color w:val="002060"/>
              </w:rPr>
              <w:t>, sui</w:t>
            </w:r>
            <w:r w:rsidRPr="001E06F9">
              <w:rPr>
                <w:rFonts w:cstheme="minorHAnsi"/>
                <w:b/>
                <w:bCs/>
                <w:color w:val="002060"/>
              </w:rPr>
              <w:t xml:space="preserve"> </w:t>
            </w:r>
            <w:r>
              <w:rPr>
                <w:rFonts w:cstheme="minorHAnsi"/>
                <w:b/>
                <w:bCs/>
                <w:color w:val="002060"/>
              </w:rPr>
              <w:t xml:space="preserve">posti rimasti vacanti nell’a.s. 2020/21, per il </w:t>
            </w:r>
            <w:r w:rsidRPr="001E06F9">
              <w:rPr>
                <w:rFonts w:cstheme="minorHAnsi"/>
                <w:b/>
                <w:bCs/>
                <w:color w:val="002060"/>
              </w:rPr>
              <w:t xml:space="preserve">personale amministrativo, tecnico e ausiliario. </w:t>
            </w:r>
          </w:p>
          <w:p w14:paraId="75E8A846" w14:textId="67F6972E" w:rsidR="00DE5786" w:rsidRPr="00DE5786" w:rsidRDefault="00DE5786" w:rsidP="00E95B7E">
            <w:pPr>
              <w:jc w:val="both"/>
              <w:rPr>
                <w:b/>
                <w:bCs/>
                <w:color w:val="002060"/>
              </w:rPr>
            </w:pPr>
            <w:r>
              <w:rPr>
                <w:rFonts w:cstheme="minorHAnsi"/>
                <w:b/>
                <w:bCs/>
                <w:color w:val="002060"/>
              </w:rPr>
              <w:t>E</w:t>
            </w:r>
            <w:r w:rsidRPr="001E06F9">
              <w:rPr>
                <w:rFonts w:cstheme="minorHAnsi"/>
                <w:b/>
                <w:bCs/>
                <w:color w:val="002060"/>
              </w:rPr>
              <w:t>ventual</w:t>
            </w:r>
            <w:r>
              <w:rPr>
                <w:rFonts w:cstheme="minorHAnsi"/>
                <w:b/>
                <w:bCs/>
                <w:color w:val="002060"/>
              </w:rPr>
              <w:t>i supplenti che ricoprono tali posti resteranno in servizio fino al termine della supplenza.</w:t>
            </w:r>
            <w:r w:rsidRPr="001E06F9">
              <w:rPr>
                <w:rFonts w:cstheme="minorHAnsi"/>
                <w:b/>
                <w:bCs/>
                <w:color w:val="002060"/>
              </w:rPr>
              <w:t xml:space="preserve"> </w:t>
            </w:r>
          </w:p>
        </w:tc>
      </w:tr>
      <w:tr w:rsidR="004771FB" w:rsidRPr="00511AFE" w14:paraId="04755813" w14:textId="77777777" w:rsidTr="00E95B7E">
        <w:tc>
          <w:tcPr>
            <w:tcW w:w="5228" w:type="dxa"/>
            <w:vMerge w:val="restart"/>
          </w:tcPr>
          <w:p w14:paraId="6F3005E2" w14:textId="77777777" w:rsidR="004771FB" w:rsidRPr="004771FB" w:rsidRDefault="004771FB" w:rsidP="00E95B7E">
            <w:pPr>
              <w:autoSpaceDE w:val="0"/>
              <w:autoSpaceDN w:val="0"/>
              <w:adjustRightInd w:val="0"/>
              <w:jc w:val="both"/>
              <w:rPr>
                <w:rFonts w:cstheme="minorHAnsi"/>
                <w:b/>
                <w:bCs/>
                <w:i/>
                <w:iCs/>
                <w:color w:val="002060"/>
              </w:rPr>
            </w:pPr>
            <w:r w:rsidRPr="004771FB">
              <w:rPr>
                <w:rFonts w:cstheme="minorHAnsi"/>
                <w:b/>
                <w:bCs/>
                <w:i/>
                <w:iCs/>
                <w:color w:val="002060"/>
              </w:rPr>
              <w:t>Comma 6</w:t>
            </w:r>
          </w:p>
          <w:p w14:paraId="7E6F965C" w14:textId="2FF1ED79" w:rsidR="004771FB" w:rsidRDefault="004771FB" w:rsidP="00E95B7E">
            <w:pPr>
              <w:autoSpaceDE w:val="0"/>
              <w:autoSpaceDN w:val="0"/>
              <w:adjustRightInd w:val="0"/>
              <w:jc w:val="both"/>
              <w:rPr>
                <w:rFonts w:cstheme="minorHAnsi"/>
                <w:color w:val="002060"/>
              </w:rPr>
            </w:pPr>
            <w:r w:rsidRPr="00511AFE">
              <w:rPr>
                <w:rFonts w:cstheme="minorHAnsi"/>
                <w:color w:val="002060"/>
              </w:rPr>
              <w:t>Al fine di assicurare anche nelle scuole dell'infanzia, nelle</w:t>
            </w:r>
            <w:r>
              <w:rPr>
                <w:rFonts w:cstheme="minorHAnsi"/>
                <w:color w:val="002060"/>
              </w:rPr>
              <w:t xml:space="preserve"> </w:t>
            </w:r>
            <w:r w:rsidRPr="00511AFE">
              <w:rPr>
                <w:rFonts w:cstheme="minorHAnsi"/>
                <w:color w:val="002060"/>
              </w:rPr>
              <w:t>scuole primarie e nelle scuole secondarie di</w:t>
            </w:r>
            <w:r>
              <w:rPr>
                <w:rFonts w:cstheme="minorHAnsi"/>
                <w:color w:val="002060"/>
              </w:rPr>
              <w:t xml:space="preserve"> </w:t>
            </w:r>
            <w:r w:rsidRPr="00511AFE">
              <w:rPr>
                <w:rFonts w:cstheme="minorHAnsi"/>
                <w:color w:val="002060"/>
              </w:rPr>
              <w:t>primo grado la funzionalità della strumentazione informatica, il termine dei contratti sottoscritti ai sensi</w:t>
            </w:r>
            <w:r>
              <w:rPr>
                <w:rFonts w:cstheme="minorHAnsi"/>
                <w:color w:val="002060"/>
              </w:rPr>
              <w:t xml:space="preserve"> </w:t>
            </w:r>
            <w:r w:rsidRPr="00511AFE">
              <w:rPr>
                <w:rFonts w:cstheme="minorHAnsi"/>
                <w:color w:val="002060"/>
              </w:rPr>
              <w:t>dell’articolo 230-bis del decreto-legge 19 maggio 2020, n. 34, convertito con modificazioni dalla legge 17</w:t>
            </w:r>
            <w:r>
              <w:rPr>
                <w:rFonts w:cstheme="minorHAnsi"/>
                <w:color w:val="002060"/>
              </w:rPr>
              <w:t xml:space="preserve"> </w:t>
            </w:r>
            <w:r w:rsidRPr="00511AFE">
              <w:rPr>
                <w:rFonts w:cstheme="minorHAnsi"/>
                <w:color w:val="002060"/>
              </w:rPr>
              <w:t>luglio 2020, n. 77, è prorogato al 30 giugno 2021. A tal fine è autorizzata la spesa pari a 13,80 milioni di euro</w:t>
            </w:r>
            <w:r>
              <w:rPr>
                <w:rFonts w:cstheme="minorHAnsi"/>
                <w:color w:val="002060"/>
              </w:rPr>
              <w:t xml:space="preserve"> </w:t>
            </w:r>
            <w:r w:rsidRPr="00511AFE">
              <w:rPr>
                <w:rFonts w:cstheme="minorHAnsi"/>
                <w:color w:val="002060"/>
              </w:rPr>
              <w:t>nel 2021.</w:t>
            </w:r>
          </w:p>
          <w:p w14:paraId="53240F2C" w14:textId="77777777" w:rsidR="004771FB" w:rsidRPr="004771FB" w:rsidRDefault="004771FB" w:rsidP="00E95B7E">
            <w:pPr>
              <w:autoSpaceDE w:val="0"/>
              <w:autoSpaceDN w:val="0"/>
              <w:adjustRightInd w:val="0"/>
              <w:jc w:val="both"/>
              <w:rPr>
                <w:rFonts w:cstheme="minorHAnsi"/>
                <w:b/>
                <w:bCs/>
                <w:i/>
                <w:iCs/>
                <w:color w:val="002060"/>
              </w:rPr>
            </w:pPr>
            <w:r w:rsidRPr="004771FB">
              <w:rPr>
                <w:rFonts w:cstheme="minorHAnsi"/>
                <w:b/>
                <w:bCs/>
                <w:i/>
                <w:iCs/>
                <w:color w:val="002060"/>
              </w:rPr>
              <w:t>Comma 7</w:t>
            </w:r>
          </w:p>
          <w:p w14:paraId="493A6884" w14:textId="2966FA41" w:rsidR="004771FB" w:rsidRPr="00511AFE" w:rsidRDefault="004771FB" w:rsidP="00E95B7E">
            <w:pPr>
              <w:autoSpaceDE w:val="0"/>
              <w:autoSpaceDN w:val="0"/>
              <w:adjustRightInd w:val="0"/>
              <w:jc w:val="both"/>
              <w:rPr>
                <w:rFonts w:cstheme="minorHAnsi"/>
                <w:color w:val="002060"/>
              </w:rPr>
            </w:pPr>
            <w:r w:rsidRPr="00511AFE">
              <w:rPr>
                <w:rFonts w:cstheme="minorHAnsi"/>
                <w:color w:val="002060"/>
              </w:rPr>
              <w:t>Al fine di assicurare stabilmente quanto previsto al</w:t>
            </w:r>
            <w:r>
              <w:rPr>
                <w:rFonts w:cstheme="minorHAnsi"/>
                <w:color w:val="002060"/>
              </w:rPr>
              <w:t xml:space="preserve"> </w:t>
            </w:r>
            <w:r w:rsidRPr="00511AFE">
              <w:rPr>
                <w:rFonts w:cstheme="minorHAnsi"/>
                <w:color w:val="002060"/>
              </w:rPr>
              <w:t>comma 6 a decorrere dall’anno scolastico 2021/2022,</w:t>
            </w:r>
            <w:r>
              <w:rPr>
                <w:rFonts w:cstheme="minorHAnsi"/>
                <w:color w:val="002060"/>
              </w:rPr>
              <w:t xml:space="preserve"> </w:t>
            </w:r>
            <w:r w:rsidRPr="00511AFE">
              <w:rPr>
                <w:rFonts w:cstheme="minorHAnsi"/>
                <w:color w:val="002060"/>
              </w:rPr>
              <w:t>la dotazione organica del personale ATA di cui all’articolo 19, comma 7, del decreto-legge 6 luglio 2011, n.</w:t>
            </w:r>
            <w:r>
              <w:rPr>
                <w:rFonts w:cstheme="minorHAnsi"/>
                <w:color w:val="002060"/>
              </w:rPr>
              <w:t xml:space="preserve"> </w:t>
            </w:r>
            <w:r w:rsidRPr="00511AFE">
              <w:rPr>
                <w:rFonts w:cstheme="minorHAnsi"/>
                <w:color w:val="002060"/>
              </w:rPr>
              <w:t>98, convertito, con modificazioni, dalla legge 15 luglio 2011, n. 111, è incrementata di 530 posti di personale</w:t>
            </w:r>
            <w:r>
              <w:rPr>
                <w:rFonts w:cstheme="minorHAnsi"/>
                <w:color w:val="002060"/>
              </w:rPr>
              <w:t xml:space="preserve"> </w:t>
            </w:r>
            <w:r w:rsidRPr="00511AFE">
              <w:rPr>
                <w:rFonts w:cstheme="minorHAnsi"/>
                <w:color w:val="002060"/>
              </w:rPr>
              <w:t>assistente tecnico, da destinare ai predetti gradi di istruzione. Le facoltà assunzionali del personale assistente</w:t>
            </w:r>
            <w:r>
              <w:rPr>
                <w:rFonts w:cstheme="minorHAnsi"/>
                <w:color w:val="002060"/>
              </w:rPr>
              <w:t xml:space="preserve"> </w:t>
            </w:r>
            <w:r w:rsidRPr="00511AFE">
              <w:rPr>
                <w:rFonts w:cstheme="minorHAnsi"/>
                <w:color w:val="002060"/>
              </w:rPr>
              <w:t>tecnico, ivi comprese quelle corrispondenti a 470 posti già vacanti e disponibili nell’organico di diritto e non</w:t>
            </w:r>
            <w:r>
              <w:rPr>
                <w:rFonts w:cstheme="minorHAnsi"/>
                <w:color w:val="002060"/>
              </w:rPr>
              <w:t xml:space="preserve"> </w:t>
            </w:r>
            <w:r w:rsidRPr="00511AFE">
              <w:rPr>
                <w:rFonts w:cstheme="minorHAnsi"/>
                <w:color w:val="002060"/>
              </w:rPr>
              <w:t xml:space="preserve">coperti a tempo indeterminato nell’anno scolastico 2020/2021 sono corrispondentemente </w:t>
            </w:r>
            <w:r w:rsidRPr="00511AFE">
              <w:rPr>
                <w:rFonts w:cstheme="minorHAnsi"/>
                <w:color w:val="002060"/>
              </w:rPr>
              <w:lastRenderedPageBreak/>
              <w:t>incrementate di</w:t>
            </w:r>
            <w:r>
              <w:rPr>
                <w:rFonts w:cstheme="minorHAnsi"/>
                <w:color w:val="002060"/>
              </w:rPr>
              <w:t xml:space="preserve"> </w:t>
            </w:r>
            <w:r w:rsidRPr="00511AFE">
              <w:rPr>
                <w:rFonts w:cstheme="minorHAnsi"/>
                <w:color w:val="002060"/>
              </w:rPr>
              <w:t>mille unità. A tal fine è autorizzata la spesa pari a 9,26 milioni di euro nel 2021, 31,43 milioni di euro nel</w:t>
            </w:r>
            <w:r>
              <w:rPr>
                <w:rFonts w:cstheme="minorHAnsi"/>
                <w:color w:val="002060"/>
              </w:rPr>
              <w:t xml:space="preserve"> </w:t>
            </w:r>
            <w:r w:rsidRPr="00511AFE">
              <w:rPr>
                <w:rFonts w:cstheme="minorHAnsi"/>
                <w:color w:val="002060"/>
              </w:rPr>
              <w:t>2022, 30,51 milioni di euro per ciascuno degli anni dal 2023 al 2026, 31,16 milioni di euro nel 2027 e 32,44</w:t>
            </w:r>
            <w:r>
              <w:rPr>
                <w:rFonts w:cstheme="minorHAnsi"/>
                <w:color w:val="002060"/>
              </w:rPr>
              <w:t xml:space="preserve"> </w:t>
            </w:r>
            <w:r w:rsidRPr="00511AFE">
              <w:rPr>
                <w:rFonts w:cstheme="minorHAnsi"/>
                <w:color w:val="002060"/>
              </w:rPr>
              <w:t>milioni di euro a decorrere dal 2028</w:t>
            </w:r>
          </w:p>
        </w:tc>
        <w:tc>
          <w:tcPr>
            <w:tcW w:w="5228" w:type="dxa"/>
            <w:tcBorders>
              <w:top w:val="single" w:sz="4" w:space="0" w:color="auto"/>
            </w:tcBorders>
            <w:shd w:val="clear" w:color="auto" w:fill="FFC000"/>
          </w:tcPr>
          <w:p w14:paraId="6CBF22E5" w14:textId="18472468" w:rsidR="004771FB" w:rsidRPr="00EB752F" w:rsidRDefault="001E06F9" w:rsidP="00E95B7E">
            <w:pPr>
              <w:jc w:val="both"/>
              <w:rPr>
                <w:b/>
                <w:bCs/>
                <w:color w:val="002060"/>
                <w:sz w:val="24"/>
                <w:szCs w:val="24"/>
              </w:rPr>
            </w:pPr>
            <w:r w:rsidRPr="00EB752F">
              <w:rPr>
                <w:b/>
                <w:bCs/>
                <w:color w:val="002060"/>
                <w:sz w:val="24"/>
                <w:szCs w:val="24"/>
              </w:rPr>
              <w:lastRenderedPageBreak/>
              <w:t>Assis</w:t>
            </w:r>
            <w:r w:rsidR="00604AD8" w:rsidRPr="00EB752F">
              <w:rPr>
                <w:b/>
                <w:bCs/>
                <w:color w:val="002060"/>
                <w:sz w:val="24"/>
                <w:szCs w:val="24"/>
              </w:rPr>
              <w:t>te</w:t>
            </w:r>
            <w:r w:rsidRPr="00EB752F">
              <w:rPr>
                <w:b/>
                <w:bCs/>
                <w:color w:val="002060"/>
                <w:sz w:val="24"/>
                <w:szCs w:val="24"/>
              </w:rPr>
              <w:t xml:space="preserve">nti tecnici scuola </w:t>
            </w:r>
            <w:r w:rsidR="00EB752F">
              <w:rPr>
                <w:b/>
                <w:bCs/>
                <w:color w:val="002060"/>
                <w:sz w:val="24"/>
                <w:szCs w:val="24"/>
              </w:rPr>
              <w:t>dell’</w:t>
            </w:r>
            <w:r w:rsidRPr="00EB752F">
              <w:rPr>
                <w:b/>
                <w:bCs/>
                <w:color w:val="002060"/>
                <w:sz w:val="24"/>
                <w:szCs w:val="24"/>
              </w:rPr>
              <w:t xml:space="preserve">Infanzia, </w:t>
            </w:r>
            <w:r w:rsidR="00EB752F">
              <w:rPr>
                <w:b/>
                <w:bCs/>
                <w:color w:val="002060"/>
                <w:sz w:val="24"/>
                <w:szCs w:val="24"/>
              </w:rPr>
              <w:t>P</w:t>
            </w:r>
            <w:r w:rsidRPr="00EB752F">
              <w:rPr>
                <w:b/>
                <w:bCs/>
                <w:color w:val="002060"/>
                <w:sz w:val="24"/>
                <w:szCs w:val="24"/>
              </w:rPr>
              <w:t>rimaria e I grado</w:t>
            </w:r>
          </w:p>
          <w:p w14:paraId="60C86FC9" w14:textId="5A40385D" w:rsidR="00DE5786" w:rsidRPr="00DE5786" w:rsidRDefault="00DE5786" w:rsidP="00E95B7E">
            <w:pPr>
              <w:rPr>
                <w:b/>
                <w:bCs/>
              </w:rPr>
            </w:pPr>
          </w:p>
        </w:tc>
      </w:tr>
      <w:tr w:rsidR="004771FB" w:rsidRPr="00511AFE" w14:paraId="7FA6A7F2" w14:textId="77777777" w:rsidTr="00E95B7E">
        <w:tc>
          <w:tcPr>
            <w:tcW w:w="5228" w:type="dxa"/>
            <w:vMerge/>
          </w:tcPr>
          <w:p w14:paraId="24C09384" w14:textId="30288D14" w:rsidR="004771FB" w:rsidRPr="00511AFE" w:rsidRDefault="004771FB" w:rsidP="00E95B7E">
            <w:pPr>
              <w:autoSpaceDE w:val="0"/>
              <w:autoSpaceDN w:val="0"/>
              <w:adjustRightInd w:val="0"/>
              <w:jc w:val="both"/>
              <w:rPr>
                <w:rFonts w:cstheme="minorHAnsi"/>
                <w:color w:val="002060"/>
              </w:rPr>
            </w:pPr>
          </w:p>
        </w:tc>
        <w:tc>
          <w:tcPr>
            <w:tcW w:w="5228" w:type="dxa"/>
            <w:tcBorders>
              <w:bottom w:val="single" w:sz="4" w:space="0" w:color="auto"/>
            </w:tcBorders>
          </w:tcPr>
          <w:p w14:paraId="72B0F44A" w14:textId="77777777" w:rsidR="007D68B6" w:rsidRPr="009E4161" w:rsidRDefault="007D68B6" w:rsidP="00E95B7E">
            <w:pPr>
              <w:jc w:val="both"/>
              <w:rPr>
                <w:rFonts w:cstheme="minorHAnsi"/>
                <w:b/>
                <w:bCs/>
                <w:color w:val="002060"/>
                <w:sz w:val="24"/>
                <w:szCs w:val="24"/>
              </w:rPr>
            </w:pPr>
          </w:p>
          <w:p w14:paraId="71D59A7E" w14:textId="3FEABDE2" w:rsidR="0072686D" w:rsidRPr="009E4161" w:rsidRDefault="0072686D" w:rsidP="00E95B7E">
            <w:pPr>
              <w:jc w:val="both"/>
              <w:rPr>
                <w:rFonts w:cstheme="minorHAnsi"/>
                <w:b/>
                <w:bCs/>
                <w:color w:val="002060"/>
              </w:rPr>
            </w:pPr>
            <w:r w:rsidRPr="009E4161">
              <w:rPr>
                <w:rFonts w:cstheme="minorHAnsi"/>
                <w:b/>
                <w:bCs/>
                <w:color w:val="002060"/>
              </w:rPr>
              <w:t>È prevista la</w:t>
            </w:r>
            <w:r w:rsidR="00604AD8" w:rsidRPr="009E4161">
              <w:rPr>
                <w:rFonts w:cstheme="minorHAnsi"/>
                <w:b/>
                <w:bCs/>
                <w:color w:val="002060"/>
              </w:rPr>
              <w:t xml:space="preserve"> proro</w:t>
            </w:r>
            <w:r w:rsidR="00004A61" w:rsidRPr="009E4161">
              <w:rPr>
                <w:rFonts w:cstheme="minorHAnsi"/>
                <w:b/>
                <w:bCs/>
                <w:color w:val="002060"/>
              </w:rPr>
              <w:t xml:space="preserve">ga al 30/6/2021 </w:t>
            </w:r>
            <w:r w:rsidR="00EB752F" w:rsidRPr="009E4161">
              <w:rPr>
                <w:rFonts w:cstheme="minorHAnsi"/>
                <w:b/>
                <w:bCs/>
                <w:color w:val="002060"/>
              </w:rPr>
              <w:t>delle</w:t>
            </w:r>
            <w:r w:rsidR="00004A61" w:rsidRPr="009E4161">
              <w:rPr>
                <w:rFonts w:cstheme="minorHAnsi"/>
                <w:b/>
                <w:bCs/>
                <w:color w:val="002060"/>
              </w:rPr>
              <w:t xml:space="preserve"> supplenze </w:t>
            </w:r>
            <w:r w:rsidR="002F18A7" w:rsidRPr="009E4161">
              <w:rPr>
                <w:rFonts w:cstheme="minorHAnsi"/>
                <w:b/>
                <w:bCs/>
                <w:color w:val="002060"/>
              </w:rPr>
              <w:t xml:space="preserve">dei 1.000 assistenti tecnici assunti al primo ciclo che </w:t>
            </w:r>
            <w:r w:rsidR="00004A61" w:rsidRPr="009E4161">
              <w:rPr>
                <w:rFonts w:cstheme="minorHAnsi"/>
                <w:b/>
                <w:bCs/>
                <w:color w:val="002060"/>
              </w:rPr>
              <w:t xml:space="preserve">al momento </w:t>
            </w:r>
            <w:r w:rsidR="002F18A7" w:rsidRPr="009E4161">
              <w:rPr>
                <w:rFonts w:cstheme="minorHAnsi"/>
                <w:b/>
                <w:bCs/>
                <w:color w:val="002060"/>
              </w:rPr>
              <w:t>hanno un contratto</w:t>
            </w:r>
            <w:r w:rsidR="00004A61" w:rsidRPr="009E4161">
              <w:rPr>
                <w:rFonts w:cstheme="minorHAnsi"/>
                <w:b/>
                <w:bCs/>
                <w:color w:val="002060"/>
              </w:rPr>
              <w:t xml:space="preserve"> </w:t>
            </w:r>
            <w:r w:rsidR="00EF5CA7" w:rsidRPr="009E4161">
              <w:rPr>
                <w:rFonts w:cstheme="minorHAnsi"/>
                <w:b/>
                <w:bCs/>
                <w:color w:val="002060"/>
              </w:rPr>
              <w:t xml:space="preserve">di supplenza </w:t>
            </w:r>
            <w:r w:rsidR="00004A61" w:rsidRPr="009E4161">
              <w:rPr>
                <w:rFonts w:cstheme="minorHAnsi"/>
                <w:b/>
                <w:bCs/>
                <w:color w:val="002060"/>
              </w:rPr>
              <w:t>fino al 31/12/2020</w:t>
            </w:r>
            <w:r w:rsidR="002F18A7" w:rsidRPr="009E4161">
              <w:rPr>
                <w:rFonts w:cstheme="minorHAnsi"/>
                <w:b/>
                <w:bCs/>
                <w:color w:val="002060"/>
              </w:rPr>
              <w:t>.</w:t>
            </w:r>
          </w:p>
          <w:p w14:paraId="276A540A" w14:textId="77777777" w:rsidR="0072686D" w:rsidRPr="009E4161" w:rsidRDefault="0072686D" w:rsidP="00E95B7E">
            <w:pPr>
              <w:jc w:val="both"/>
              <w:rPr>
                <w:rFonts w:cstheme="minorHAnsi"/>
                <w:b/>
                <w:bCs/>
                <w:color w:val="002060"/>
                <w:sz w:val="24"/>
                <w:szCs w:val="24"/>
              </w:rPr>
            </w:pPr>
          </w:p>
          <w:p w14:paraId="04A18261" w14:textId="77777777" w:rsidR="00E249D6" w:rsidRPr="009E4161" w:rsidRDefault="00E249D6" w:rsidP="00E95B7E">
            <w:pPr>
              <w:jc w:val="both"/>
              <w:rPr>
                <w:rFonts w:cstheme="minorHAnsi"/>
                <w:b/>
                <w:bCs/>
                <w:color w:val="002060"/>
                <w:sz w:val="24"/>
                <w:szCs w:val="24"/>
              </w:rPr>
            </w:pPr>
          </w:p>
          <w:p w14:paraId="2888B473" w14:textId="6C5AD691" w:rsidR="007A2294" w:rsidRPr="001118EB" w:rsidRDefault="00126B45" w:rsidP="00E95B7E">
            <w:pPr>
              <w:jc w:val="both"/>
              <w:rPr>
                <w:rFonts w:cstheme="minorHAnsi"/>
                <w:b/>
                <w:bCs/>
                <w:color w:val="002060"/>
              </w:rPr>
            </w:pPr>
            <w:r w:rsidRPr="001118EB">
              <w:rPr>
                <w:rFonts w:cstheme="minorHAnsi"/>
                <w:b/>
                <w:bCs/>
                <w:color w:val="002060"/>
              </w:rPr>
              <w:t>Inoltre, è</w:t>
            </w:r>
            <w:r w:rsidR="00F53138" w:rsidRPr="001118EB">
              <w:rPr>
                <w:rFonts w:cstheme="minorHAnsi"/>
                <w:b/>
                <w:bCs/>
                <w:color w:val="002060"/>
              </w:rPr>
              <w:t xml:space="preserve"> previsto</w:t>
            </w:r>
            <w:r w:rsidR="007A2294" w:rsidRPr="001118EB">
              <w:rPr>
                <w:rFonts w:cstheme="minorHAnsi"/>
                <w:b/>
                <w:bCs/>
                <w:color w:val="002060"/>
              </w:rPr>
              <w:t>:</w:t>
            </w:r>
          </w:p>
          <w:p w14:paraId="5BF74E49" w14:textId="77777777" w:rsidR="007A2294" w:rsidRPr="001118EB" w:rsidRDefault="007A2294" w:rsidP="00E95B7E">
            <w:pPr>
              <w:jc w:val="both"/>
              <w:rPr>
                <w:rFonts w:cstheme="minorHAnsi"/>
                <w:b/>
                <w:bCs/>
                <w:color w:val="002060"/>
              </w:rPr>
            </w:pPr>
          </w:p>
          <w:p w14:paraId="4B802D59" w14:textId="61710EC6" w:rsidR="007A2294" w:rsidRPr="001118EB" w:rsidRDefault="00F53138" w:rsidP="00E95B7E">
            <w:pPr>
              <w:pStyle w:val="Paragrafoelenco"/>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heme="minorHAnsi"/>
                <w:b/>
                <w:bCs/>
                <w:color w:val="002060"/>
              </w:rPr>
            </w:pPr>
            <w:r w:rsidRPr="001118EB">
              <w:rPr>
                <w:rFonts w:cstheme="minorHAnsi"/>
                <w:b/>
                <w:bCs/>
                <w:color w:val="002060"/>
              </w:rPr>
              <w:t xml:space="preserve">l’incremento </w:t>
            </w:r>
            <w:r w:rsidR="00021170" w:rsidRPr="001118EB">
              <w:rPr>
                <w:rFonts w:cstheme="minorHAnsi"/>
                <w:b/>
                <w:bCs/>
                <w:color w:val="002060"/>
              </w:rPr>
              <w:t xml:space="preserve">della dotazione organica </w:t>
            </w:r>
            <w:r w:rsidR="007A2294" w:rsidRPr="001118EB">
              <w:rPr>
                <w:rFonts w:cstheme="minorHAnsi"/>
                <w:b/>
                <w:bCs/>
                <w:color w:val="002060"/>
              </w:rPr>
              <w:t>del personale tecnico di 530 posti;</w:t>
            </w:r>
          </w:p>
          <w:p w14:paraId="36C8DA71" w14:textId="77777777" w:rsidR="002A28BE" w:rsidRPr="001118EB" w:rsidRDefault="007A2294" w:rsidP="00E95B7E">
            <w:pPr>
              <w:pStyle w:val="Paragrafoelenco"/>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heme="minorHAnsi"/>
                <w:b/>
                <w:bCs/>
                <w:color w:val="002060"/>
              </w:rPr>
            </w:pPr>
            <w:r w:rsidRPr="001118EB">
              <w:rPr>
                <w:rFonts w:cstheme="minorHAnsi"/>
                <w:b/>
                <w:bCs/>
                <w:color w:val="002060"/>
              </w:rPr>
              <w:t xml:space="preserve">la possibilità di assumere </w:t>
            </w:r>
            <w:r w:rsidR="00A82C69" w:rsidRPr="001118EB">
              <w:rPr>
                <w:rFonts w:cstheme="minorHAnsi"/>
                <w:b/>
                <w:bCs/>
                <w:color w:val="002060"/>
              </w:rPr>
              <w:t>complessivamente fino a 1</w:t>
            </w:r>
            <w:r w:rsidR="00E249D6" w:rsidRPr="001118EB">
              <w:rPr>
                <w:rFonts w:cstheme="minorHAnsi"/>
                <w:b/>
                <w:bCs/>
                <w:color w:val="002060"/>
              </w:rPr>
              <w:t>.</w:t>
            </w:r>
            <w:r w:rsidR="00A82C69" w:rsidRPr="001118EB">
              <w:rPr>
                <w:rFonts w:cstheme="minorHAnsi"/>
                <w:b/>
                <w:bCs/>
                <w:color w:val="002060"/>
              </w:rPr>
              <w:t>000 assi</w:t>
            </w:r>
            <w:r w:rsidR="00A47655" w:rsidRPr="001118EB">
              <w:rPr>
                <w:rFonts w:cstheme="minorHAnsi"/>
                <w:b/>
                <w:bCs/>
                <w:color w:val="002060"/>
              </w:rPr>
              <w:t>s</w:t>
            </w:r>
            <w:r w:rsidR="00A82C69" w:rsidRPr="001118EB">
              <w:rPr>
                <w:rFonts w:cstheme="minorHAnsi"/>
                <w:b/>
                <w:bCs/>
                <w:color w:val="002060"/>
              </w:rPr>
              <w:t>tenti tecnici</w:t>
            </w:r>
            <w:r w:rsidR="00A47655" w:rsidRPr="001118EB">
              <w:rPr>
                <w:rFonts w:cstheme="minorHAnsi"/>
                <w:b/>
                <w:bCs/>
                <w:color w:val="002060"/>
              </w:rPr>
              <w:t xml:space="preserve"> </w:t>
            </w:r>
            <w:r w:rsidR="009B61F6" w:rsidRPr="001118EB">
              <w:rPr>
                <w:rFonts w:cstheme="minorHAnsi"/>
                <w:b/>
                <w:bCs/>
                <w:color w:val="002060"/>
              </w:rPr>
              <w:t>nell’a.s. 2020/21</w:t>
            </w:r>
            <w:r w:rsidR="00171DE1" w:rsidRPr="001118EB">
              <w:rPr>
                <w:rFonts w:cstheme="minorHAnsi"/>
                <w:b/>
                <w:bCs/>
                <w:color w:val="002060"/>
              </w:rPr>
              <w:t>.</w:t>
            </w:r>
          </w:p>
          <w:p w14:paraId="54C5BDF2" w14:textId="77777777" w:rsidR="00C218C1" w:rsidRPr="001118EB" w:rsidRDefault="00C218C1" w:rsidP="00C218C1"/>
          <w:p w14:paraId="56785C02" w14:textId="77777777" w:rsidR="00C218C1" w:rsidRPr="009E4161" w:rsidRDefault="00C218C1" w:rsidP="00C218C1">
            <w:pPr>
              <w:rPr>
                <w:rFonts w:cstheme="minorHAnsi"/>
                <w:b/>
                <w:bCs/>
                <w:color w:val="002060"/>
                <w:sz w:val="24"/>
                <w:szCs w:val="24"/>
              </w:rPr>
            </w:pPr>
          </w:p>
          <w:p w14:paraId="464D1E1B" w14:textId="77777777" w:rsidR="00C218C1" w:rsidRPr="009E4161" w:rsidRDefault="00C218C1" w:rsidP="009E4161">
            <w:pPr>
              <w:jc w:val="both"/>
              <w:rPr>
                <w:rFonts w:cstheme="minorHAnsi"/>
                <w:b/>
                <w:bCs/>
                <w:color w:val="002060"/>
                <w:sz w:val="24"/>
                <w:szCs w:val="24"/>
              </w:rPr>
            </w:pPr>
          </w:p>
          <w:p w14:paraId="0AE7F4CA" w14:textId="35BC52F4" w:rsidR="00C218C1" w:rsidRPr="009E4161" w:rsidRDefault="009E4161" w:rsidP="009E4161">
            <w:pPr>
              <w:jc w:val="both"/>
              <w:rPr>
                <w:b/>
                <w:bCs/>
                <w:i/>
                <w:iCs/>
                <w:sz w:val="24"/>
                <w:szCs w:val="24"/>
              </w:rPr>
            </w:pPr>
            <w:r w:rsidRPr="009E4161">
              <w:rPr>
                <w:b/>
                <w:bCs/>
                <w:i/>
                <w:iCs/>
                <w:sz w:val="24"/>
                <w:szCs w:val="24"/>
              </w:rPr>
              <w:lastRenderedPageBreak/>
              <w:t xml:space="preserve">È </w:t>
            </w:r>
            <w:r w:rsidR="00C218C1" w:rsidRPr="009E4161">
              <w:rPr>
                <w:b/>
                <w:bCs/>
                <w:i/>
                <w:iCs/>
                <w:sz w:val="24"/>
                <w:szCs w:val="24"/>
              </w:rPr>
              <w:t>un primo passo per mettere un AT in ogni scuola, sono troppo pochi in relazione al fabbisogno.</w:t>
            </w:r>
          </w:p>
        </w:tc>
      </w:tr>
      <w:tr w:rsidR="003938C0" w:rsidRPr="00511AFE" w14:paraId="007249A7" w14:textId="77777777" w:rsidTr="00E95B7E">
        <w:trPr>
          <w:trHeight w:val="300"/>
        </w:trPr>
        <w:tc>
          <w:tcPr>
            <w:tcW w:w="5228" w:type="dxa"/>
            <w:vMerge w:val="restart"/>
            <w:tcBorders>
              <w:right w:val="single" w:sz="4" w:space="0" w:color="auto"/>
            </w:tcBorders>
          </w:tcPr>
          <w:p w14:paraId="04E84DA4" w14:textId="77777777" w:rsidR="003938C0" w:rsidRPr="009B61F6" w:rsidRDefault="003938C0" w:rsidP="00E95B7E">
            <w:pPr>
              <w:autoSpaceDE w:val="0"/>
              <w:autoSpaceDN w:val="0"/>
              <w:adjustRightInd w:val="0"/>
              <w:jc w:val="both"/>
              <w:rPr>
                <w:rFonts w:cstheme="minorHAnsi"/>
                <w:b/>
                <w:bCs/>
                <w:i/>
                <w:iCs/>
                <w:color w:val="002060"/>
              </w:rPr>
            </w:pPr>
            <w:r w:rsidRPr="009B61F6">
              <w:rPr>
                <w:rFonts w:cstheme="minorHAnsi"/>
                <w:b/>
                <w:bCs/>
                <w:i/>
                <w:iCs/>
                <w:color w:val="002060"/>
              </w:rPr>
              <w:t>Comma 8</w:t>
            </w:r>
          </w:p>
          <w:p w14:paraId="43C10AA9" w14:textId="65C65644" w:rsidR="003938C0" w:rsidRPr="00511AFE" w:rsidRDefault="003938C0" w:rsidP="00E95B7E">
            <w:pPr>
              <w:autoSpaceDE w:val="0"/>
              <w:autoSpaceDN w:val="0"/>
              <w:adjustRightInd w:val="0"/>
              <w:jc w:val="both"/>
              <w:rPr>
                <w:rFonts w:cstheme="minorHAnsi"/>
                <w:color w:val="002060"/>
              </w:rPr>
            </w:pPr>
            <w:r w:rsidRPr="00511AFE">
              <w:rPr>
                <w:rFonts w:cstheme="minorHAnsi"/>
                <w:color w:val="002060"/>
              </w:rPr>
              <w:t>La dotazione organica complessiva di cui all'articolo 1, commi 64 e 65, della legge 13 luglio 2015, n. 107,</w:t>
            </w:r>
            <w:r>
              <w:rPr>
                <w:rFonts w:cstheme="minorHAnsi"/>
                <w:color w:val="002060"/>
              </w:rPr>
              <w:t xml:space="preserve"> </w:t>
            </w:r>
            <w:r w:rsidRPr="00511AFE">
              <w:rPr>
                <w:rFonts w:cstheme="minorHAnsi"/>
                <w:color w:val="002060"/>
              </w:rPr>
              <w:t>è incrementata di mille posti, con riferimento alla scuola dell'infanzia, da destinare al potenziamento</w:t>
            </w:r>
            <w:r>
              <w:rPr>
                <w:rFonts w:cstheme="minorHAnsi"/>
                <w:color w:val="002060"/>
              </w:rPr>
              <w:t xml:space="preserve"> </w:t>
            </w:r>
            <w:r w:rsidRPr="00511AFE">
              <w:rPr>
                <w:rFonts w:cstheme="minorHAnsi"/>
                <w:color w:val="002060"/>
              </w:rPr>
              <w:t>dell'offerta formativa nel relativo grado di istruzione. Con il decreto del Ministro dell'istruzione di cui al</w:t>
            </w:r>
            <w:r>
              <w:rPr>
                <w:rFonts w:cstheme="minorHAnsi"/>
                <w:color w:val="002060"/>
              </w:rPr>
              <w:t xml:space="preserve"> </w:t>
            </w:r>
            <w:r w:rsidRPr="00511AFE">
              <w:rPr>
                <w:rFonts w:cstheme="minorHAnsi"/>
                <w:color w:val="002060"/>
              </w:rPr>
              <w:t>predetto articolo 1, comma 64, il contingente di mille posti è ripartito tra le regioni. A tal fine è autorizzata la</w:t>
            </w:r>
            <w:r>
              <w:rPr>
                <w:rFonts w:cstheme="minorHAnsi"/>
                <w:color w:val="002060"/>
              </w:rPr>
              <w:t xml:space="preserve"> </w:t>
            </w:r>
            <w:r w:rsidRPr="00511AFE">
              <w:rPr>
                <w:rFonts w:cstheme="minorHAnsi"/>
                <w:color w:val="002060"/>
              </w:rPr>
              <w:t>spesa pari a 11,67 milioni di euro nel 2021, 38,43 milioni di euro nel 2022, 37,32 milioni di euro per ciascuno</w:t>
            </w:r>
            <w:r>
              <w:rPr>
                <w:rFonts w:cstheme="minorHAnsi"/>
                <w:color w:val="002060"/>
              </w:rPr>
              <w:t xml:space="preserve"> </w:t>
            </w:r>
            <w:r w:rsidRPr="00511AFE">
              <w:rPr>
                <w:rFonts w:cstheme="minorHAnsi"/>
                <w:color w:val="002060"/>
              </w:rPr>
              <w:t>degli anni dal 2023 al 2026, 38,48 milioni di euro nel 2027 e 40,79 milioni di euro dal 2028.</w:t>
            </w:r>
          </w:p>
          <w:p w14:paraId="5FC2DD9E" w14:textId="77777777" w:rsidR="003938C0" w:rsidRPr="00511AFE" w:rsidRDefault="003938C0" w:rsidP="00E95B7E">
            <w:pPr>
              <w:autoSpaceDE w:val="0"/>
              <w:autoSpaceDN w:val="0"/>
              <w:adjustRightInd w:val="0"/>
              <w:jc w:val="both"/>
              <w:rPr>
                <w:rFonts w:cstheme="minorHAnsi"/>
                <w:color w:val="002060"/>
              </w:rPr>
            </w:pPr>
          </w:p>
          <w:p w14:paraId="3785E274" w14:textId="77777777" w:rsidR="003938C0" w:rsidRPr="00511AFE" w:rsidRDefault="003938C0" w:rsidP="00E95B7E">
            <w:pPr>
              <w:jc w:val="both"/>
              <w:rPr>
                <w:rFonts w:cstheme="minorHAnsi"/>
                <w:color w:val="002060"/>
              </w:rPr>
            </w:pPr>
          </w:p>
        </w:tc>
        <w:tc>
          <w:tcPr>
            <w:tcW w:w="5228" w:type="dxa"/>
            <w:tcBorders>
              <w:top w:val="single" w:sz="4" w:space="0" w:color="auto"/>
              <w:left w:val="single" w:sz="4" w:space="0" w:color="auto"/>
              <w:bottom w:val="single" w:sz="4" w:space="0" w:color="auto"/>
              <w:right w:val="single" w:sz="4" w:space="0" w:color="auto"/>
            </w:tcBorders>
            <w:shd w:val="clear" w:color="auto" w:fill="FFC000"/>
          </w:tcPr>
          <w:p w14:paraId="17D3FA38" w14:textId="77777777" w:rsidR="003938C0" w:rsidRPr="00DE5786" w:rsidRDefault="003938C0" w:rsidP="00E95B7E">
            <w:pPr>
              <w:jc w:val="center"/>
              <w:rPr>
                <w:rFonts w:cstheme="minorHAnsi"/>
                <w:b/>
                <w:bCs/>
                <w:color w:val="002060"/>
                <w:sz w:val="24"/>
                <w:szCs w:val="24"/>
              </w:rPr>
            </w:pPr>
            <w:r w:rsidRPr="00DE5786">
              <w:rPr>
                <w:rFonts w:cstheme="minorHAnsi"/>
                <w:b/>
                <w:bCs/>
                <w:color w:val="002060"/>
                <w:sz w:val="24"/>
                <w:szCs w:val="24"/>
              </w:rPr>
              <w:t>Potenziamento nella scuola dell’Infanzia</w:t>
            </w:r>
          </w:p>
          <w:p w14:paraId="264D5994" w14:textId="0E7ACB3F" w:rsidR="003938C0" w:rsidRPr="00DE5786" w:rsidRDefault="003938C0" w:rsidP="00E95B7E">
            <w:pPr>
              <w:jc w:val="center"/>
              <w:rPr>
                <w:rFonts w:cstheme="minorHAnsi"/>
                <w:b/>
                <w:bCs/>
                <w:color w:val="002060"/>
                <w:sz w:val="24"/>
                <w:szCs w:val="24"/>
              </w:rPr>
            </w:pPr>
          </w:p>
        </w:tc>
      </w:tr>
      <w:tr w:rsidR="003938C0" w:rsidRPr="00511AFE" w14:paraId="0C672CEB" w14:textId="77777777" w:rsidTr="00E95B7E">
        <w:trPr>
          <w:trHeight w:val="3720"/>
        </w:trPr>
        <w:tc>
          <w:tcPr>
            <w:tcW w:w="5228" w:type="dxa"/>
            <w:vMerge/>
            <w:tcBorders>
              <w:right w:val="single" w:sz="4" w:space="0" w:color="auto"/>
            </w:tcBorders>
          </w:tcPr>
          <w:p w14:paraId="05932469" w14:textId="77777777" w:rsidR="003938C0" w:rsidRPr="009B61F6" w:rsidRDefault="003938C0" w:rsidP="00E95B7E">
            <w:pPr>
              <w:autoSpaceDE w:val="0"/>
              <w:autoSpaceDN w:val="0"/>
              <w:adjustRightInd w:val="0"/>
              <w:jc w:val="both"/>
              <w:rPr>
                <w:rFonts w:cstheme="minorHAnsi"/>
                <w:b/>
                <w:bCs/>
                <w:i/>
                <w:iCs/>
                <w:color w:val="002060"/>
              </w:rPr>
            </w:pPr>
          </w:p>
        </w:tc>
        <w:tc>
          <w:tcPr>
            <w:tcW w:w="5228" w:type="dxa"/>
            <w:tcBorders>
              <w:top w:val="single" w:sz="4" w:space="0" w:color="auto"/>
              <w:left w:val="single" w:sz="4" w:space="0" w:color="auto"/>
              <w:bottom w:val="single" w:sz="4" w:space="0" w:color="auto"/>
              <w:right w:val="single" w:sz="4" w:space="0" w:color="auto"/>
            </w:tcBorders>
          </w:tcPr>
          <w:p w14:paraId="15379AAD" w14:textId="77777777" w:rsidR="00B04C4C" w:rsidRDefault="00B04C4C" w:rsidP="00E95B7E">
            <w:pPr>
              <w:jc w:val="both"/>
              <w:rPr>
                <w:rFonts w:cstheme="minorHAnsi"/>
                <w:b/>
                <w:bCs/>
                <w:color w:val="002060"/>
              </w:rPr>
            </w:pPr>
          </w:p>
          <w:p w14:paraId="643E1471" w14:textId="77777777" w:rsidR="003938C0" w:rsidRDefault="004E497E" w:rsidP="00E95B7E">
            <w:pPr>
              <w:jc w:val="both"/>
              <w:rPr>
                <w:rFonts w:cstheme="minorHAnsi"/>
                <w:b/>
                <w:bCs/>
                <w:color w:val="002060"/>
              </w:rPr>
            </w:pPr>
            <w:r>
              <w:rPr>
                <w:rFonts w:cstheme="minorHAnsi"/>
                <w:b/>
                <w:bCs/>
                <w:color w:val="002060"/>
              </w:rPr>
              <w:t xml:space="preserve">Sono previsti 1.000 posti </w:t>
            </w:r>
            <w:r w:rsidR="00CA3857">
              <w:rPr>
                <w:rFonts w:cstheme="minorHAnsi"/>
                <w:b/>
                <w:bCs/>
                <w:color w:val="002060"/>
              </w:rPr>
              <w:t xml:space="preserve">di potenziamento </w:t>
            </w:r>
            <w:r w:rsidR="00B04C4C">
              <w:rPr>
                <w:rFonts w:cstheme="minorHAnsi"/>
                <w:b/>
                <w:bCs/>
                <w:color w:val="002060"/>
              </w:rPr>
              <w:t>da ripartire tra le Regioni</w:t>
            </w:r>
            <w:r w:rsidR="00CA3857">
              <w:rPr>
                <w:rFonts w:cstheme="minorHAnsi"/>
                <w:b/>
                <w:bCs/>
                <w:color w:val="002060"/>
              </w:rPr>
              <w:t>.</w:t>
            </w:r>
          </w:p>
          <w:p w14:paraId="59A4D0CC" w14:textId="77777777" w:rsidR="00CA3857" w:rsidRDefault="00CA3857" w:rsidP="00E95B7E">
            <w:pPr>
              <w:jc w:val="both"/>
              <w:rPr>
                <w:rFonts w:cstheme="minorHAnsi"/>
                <w:b/>
                <w:bCs/>
                <w:color w:val="002060"/>
              </w:rPr>
            </w:pPr>
          </w:p>
          <w:p w14:paraId="78E88C9C" w14:textId="7FC7C2CD" w:rsidR="00CA3857" w:rsidRPr="003938C0" w:rsidRDefault="00422942" w:rsidP="00E95B7E">
            <w:pPr>
              <w:jc w:val="both"/>
              <w:rPr>
                <w:rFonts w:cstheme="minorHAnsi"/>
                <w:b/>
                <w:bCs/>
                <w:color w:val="002060"/>
              </w:rPr>
            </w:pPr>
            <w:r w:rsidRPr="00C5166C">
              <w:rPr>
                <w:rFonts w:cstheme="minorHAnsi"/>
                <w:b/>
                <w:bCs/>
                <w:color w:val="002060"/>
              </w:rPr>
              <w:t>I</w:t>
            </w:r>
            <w:r>
              <w:rPr>
                <w:rFonts w:cstheme="minorHAnsi"/>
                <w:b/>
                <w:bCs/>
                <w:color w:val="002060"/>
              </w:rPr>
              <w:t xml:space="preserve">l riparto tra le Regioni avverrà </w:t>
            </w:r>
            <w:r w:rsidRPr="00C5166C">
              <w:rPr>
                <w:rFonts w:cstheme="minorHAnsi"/>
                <w:b/>
                <w:bCs/>
                <w:color w:val="002060"/>
              </w:rPr>
              <w:t>con decreto del Ministero dell’istruzione</w:t>
            </w:r>
            <w:r>
              <w:rPr>
                <w:rFonts w:cstheme="minorHAnsi"/>
                <w:b/>
                <w:bCs/>
                <w:color w:val="002060"/>
              </w:rPr>
              <w:t>.</w:t>
            </w:r>
          </w:p>
        </w:tc>
      </w:tr>
      <w:tr w:rsidR="00E71E11" w:rsidRPr="00511AFE" w14:paraId="78600DA9" w14:textId="77777777" w:rsidTr="00E95B7E">
        <w:trPr>
          <w:trHeight w:val="375"/>
        </w:trPr>
        <w:tc>
          <w:tcPr>
            <w:tcW w:w="5228" w:type="dxa"/>
            <w:vMerge w:val="restart"/>
          </w:tcPr>
          <w:p w14:paraId="43FA48D7" w14:textId="77777777" w:rsidR="00E71E11" w:rsidRPr="00E71E11" w:rsidRDefault="00E71E11" w:rsidP="00E95B7E">
            <w:pPr>
              <w:autoSpaceDE w:val="0"/>
              <w:autoSpaceDN w:val="0"/>
              <w:adjustRightInd w:val="0"/>
              <w:jc w:val="both"/>
              <w:rPr>
                <w:rFonts w:cstheme="minorHAnsi"/>
                <w:b/>
                <w:bCs/>
                <w:i/>
                <w:iCs/>
                <w:color w:val="002060"/>
              </w:rPr>
            </w:pPr>
            <w:r w:rsidRPr="00E71E11">
              <w:rPr>
                <w:rFonts w:cstheme="minorHAnsi"/>
                <w:b/>
                <w:bCs/>
                <w:i/>
                <w:iCs/>
                <w:color w:val="002060"/>
              </w:rPr>
              <w:t>Comma 9</w:t>
            </w:r>
          </w:p>
          <w:p w14:paraId="4C99C287" w14:textId="5D168507" w:rsidR="00E71E11" w:rsidRPr="00511AFE" w:rsidRDefault="00E71E11" w:rsidP="00E95B7E">
            <w:pPr>
              <w:autoSpaceDE w:val="0"/>
              <w:autoSpaceDN w:val="0"/>
              <w:adjustRightInd w:val="0"/>
              <w:jc w:val="both"/>
              <w:rPr>
                <w:rFonts w:cstheme="minorHAnsi"/>
                <w:color w:val="002060"/>
              </w:rPr>
            </w:pPr>
            <w:r w:rsidRPr="00511AFE">
              <w:rPr>
                <w:rFonts w:cstheme="minorHAnsi"/>
                <w:color w:val="002060"/>
              </w:rPr>
              <w:t>Il fondo di cui all’articolo 12 del decreto legislativo 13</w:t>
            </w:r>
            <w:r>
              <w:rPr>
                <w:rFonts w:cstheme="minorHAnsi"/>
                <w:color w:val="002060"/>
              </w:rPr>
              <w:t xml:space="preserve"> </w:t>
            </w:r>
            <w:r w:rsidRPr="00511AFE">
              <w:rPr>
                <w:rFonts w:cstheme="minorHAnsi"/>
                <w:color w:val="002060"/>
              </w:rPr>
              <w:t>aprile 2017, n. 65 è incrementato, a decorrere</w:t>
            </w:r>
            <w:r>
              <w:rPr>
                <w:rFonts w:cstheme="minorHAnsi"/>
                <w:color w:val="002060"/>
              </w:rPr>
              <w:t xml:space="preserve"> </w:t>
            </w:r>
            <w:r w:rsidRPr="00511AFE">
              <w:rPr>
                <w:rFonts w:cstheme="minorHAnsi"/>
                <w:color w:val="002060"/>
              </w:rPr>
              <w:t>dall’anno 2021, di 60 milioni di euro. Per l’anno 2021, in deroga alle previsioni di cui all’articolo 12, comma</w:t>
            </w:r>
            <w:r>
              <w:rPr>
                <w:rFonts w:cstheme="minorHAnsi"/>
                <w:color w:val="002060"/>
              </w:rPr>
              <w:t xml:space="preserve"> </w:t>
            </w:r>
            <w:r w:rsidRPr="00511AFE">
              <w:rPr>
                <w:rFonts w:cstheme="minorHAnsi"/>
                <w:color w:val="002060"/>
              </w:rPr>
              <w:t>4, del citato decreto, una quota parte dell’incremento, pari a euro 1.500.000 è destinata al Ministero</w:t>
            </w:r>
            <w:r>
              <w:rPr>
                <w:rFonts w:cstheme="minorHAnsi"/>
                <w:color w:val="002060"/>
              </w:rPr>
              <w:t xml:space="preserve"> </w:t>
            </w:r>
            <w:r w:rsidRPr="00511AFE">
              <w:rPr>
                <w:rFonts w:cstheme="minorHAnsi"/>
                <w:color w:val="002060"/>
              </w:rPr>
              <w:t>dell’istruzione per l’attivazione del sistema informativo nazionale di cui all’articolo 5, comma 1, lett. e) del</w:t>
            </w:r>
            <w:r>
              <w:rPr>
                <w:rFonts w:cstheme="minorHAnsi"/>
                <w:color w:val="002060"/>
              </w:rPr>
              <w:t xml:space="preserve"> </w:t>
            </w:r>
            <w:r w:rsidRPr="00511AFE">
              <w:rPr>
                <w:rFonts w:cstheme="minorHAnsi"/>
                <w:color w:val="002060"/>
              </w:rPr>
              <w:t>decreto legislativo n. 65 del 2017. A tal fine è autorizzata la spesa pari a 60</w:t>
            </w:r>
            <w:r>
              <w:rPr>
                <w:rFonts w:cstheme="minorHAnsi"/>
                <w:color w:val="002060"/>
              </w:rPr>
              <w:t xml:space="preserve"> </w:t>
            </w:r>
            <w:r w:rsidRPr="00511AFE">
              <w:rPr>
                <w:rFonts w:cstheme="minorHAnsi"/>
                <w:color w:val="002060"/>
              </w:rPr>
              <w:t>milioni a decorrere dall’anno</w:t>
            </w:r>
            <w:r>
              <w:rPr>
                <w:rFonts w:cstheme="minorHAnsi"/>
                <w:color w:val="002060"/>
              </w:rPr>
              <w:t xml:space="preserve"> </w:t>
            </w:r>
            <w:r w:rsidRPr="00511AFE">
              <w:rPr>
                <w:rFonts w:cstheme="minorHAnsi"/>
                <w:color w:val="002060"/>
              </w:rPr>
              <w:t>2021.</w:t>
            </w:r>
          </w:p>
          <w:p w14:paraId="7E924EB3" w14:textId="77777777" w:rsidR="00E71E11" w:rsidRPr="00511AFE" w:rsidRDefault="00E71E11" w:rsidP="00E95B7E">
            <w:pPr>
              <w:jc w:val="both"/>
              <w:rPr>
                <w:rFonts w:cstheme="minorHAnsi"/>
                <w:color w:val="002060"/>
              </w:rPr>
            </w:pPr>
          </w:p>
        </w:tc>
        <w:tc>
          <w:tcPr>
            <w:tcW w:w="5228" w:type="dxa"/>
            <w:tcBorders>
              <w:top w:val="single" w:sz="4" w:space="0" w:color="auto"/>
            </w:tcBorders>
            <w:shd w:val="clear" w:color="auto" w:fill="FFC000"/>
          </w:tcPr>
          <w:p w14:paraId="4DE22987" w14:textId="1A840685" w:rsidR="00E71E11" w:rsidRPr="00EC7D24" w:rsidRDefault="00E71E11" w:rsidP="00E95B7E">
            <w:pPr>
              <w:jc w:val="center"/>
              <w:rPr>
                <w:rFonts w:cstheme="minorHAnsi"/>
                <w:b/>
                <w:bCs/>
                <w:color w:val="002060"/>
              </w:rPr>
            </w:pPr>
            <w:r w:rsidRPr="00EC7D24">
              <w:rPr>
                <w:rFonts w:cstheme="minorHAnsi"/>
                <w:b/>
                <w:bCs/>
                <w:color w:val="002060"/>
                <w:sz w:val="24"/>
                <w:szCs w:val="24"/>
              </w:rPr>
              <w:t>Fondo 0-6 anni</w:t>
            </w:r>
          </w:p>
        </w:tc>
      </w:tr>
      <w:tr w:rsidR="00E71E11" w:rsidRPr="00511AFE" w14:paraId="45EACE48" w14:textId="77777777" w:rsidTr="00E95B7E">
        <w:trPr>
          <w:trHeight w:val="2850"/>
        </w:trPr>
        <w:tc>
          <w:tcPr>
            <w:tcW w:w="5228" w:type="dxa"/>
            <w:vMerge/>
          </w:tcPr>
          <w:p w14:paraId="15C39802" w14:textId="77777777" w:rsidR="00E71E11" w:rsidRPr="00E71E11" w:rsidRDefault="00E71E11" w:rsidP="00E95B7E">
            <w:pPr>
              <w:autoSpaceDE w:val="0"/>
              <w:autoSpaceDN w:val="0"/>
              <w:adjustRightInd w:val="0"/>
              <w:jc w:val="both"/>
              <w:rPr>
                <w:rFonts w:cstheme="minorHAnsi"/>
                <w:b/>
                <w:bCs/>
                <w:i/>
                <w:iCs/>
                <w:color w:val="002060"/>
              </w:rPr>
            </w:pPr>
          </w:p>
        </w:tc>
        <w:tc>
          <w:tcPr>
            <w:tcW w:w="5228" w:type="dxa"/>
            <w:tcBorders>
              <w:top w:val="single" w:sz="4" w:space="0" w:color="auto"/>
            </w:tcBorders>
          </w:tcPr>
          <w:p w14:paraId="5D3A94C7" w14:textId="77777777" w:rsidR="00E71E11" w:rsidRDefault="00E71E11" w:rsidP="00E95B7E">
            <w:pPr>
              <w:jc w:val="both"/>
              <w:rPr>
                <w:rFonts w:cstheme="minorHAnsi"/>
                <w:b/>
                <w:bCs/>
                <w:i/>
                <w:iCs/>
                <w:color w:val="002060"/>
                <w:sz w:val="24"/>
                <w:szCs w:val="24"/>
              </w:rPr>
            </w:pPr>
          </w:p>
          <w:p w14:paraId="46C21B43" w14:textId="39329BA0" w:rsidR="00E71E11" w:rsidRPr="009E4161" w:rsidRDefault="00EC7D24" w:rsidP="00E95B7E">
            <w:pPr>
              <w:jc w:val="both"/>
              <w:rPr>
                <w:rFonts w:cstheme="minorHAnsi"/>
                <w:b/>
                <w:bCs/>
                <w:color w:val="002060"/>
              </w:rPr>
            </w:pPr>
            <w:r w:rsidRPr="009E4161">
              <w:rPr>
                <w:rFonts w:cstheme="minorHAnsi"/>
                <w:b/>
                <w:bCs/>
                <w:color w:val="002060"/>
              </w:rPr>
              <w:t>È il</w:t>
            </w:r>
            <w:r w:rsidR="00DA0662" w:rsidRPr="009E4161">
              <w:rPr>
                <w:rFonts w:cstheme="minorHAnsi"/>
                <w:b/>
                <w:bCs/>
                <w:color w:val="002060"/>
              </w:rPr>
              <w:t xml:space="preserve"> </w:t>
            </w:r>
            <w:r w:rsidR="00B74F00" w:rsidRPr="009E4161">
              <w:rPr>
                <w:rFonts w:cstheme="minorHAnsi"/>
                <w:b/>
                <w:bCs/>
                <w:color w:val="002060"/>
              </w:rPr>
              <w:t xml:space="preserve">Fondo nazionale per il sistema integrato di educazione e di istruzione per finanziare </w:t>
            </w:r>
            <w:r w:rsidR="000E6B2D" w:rsidRPr="009E4161">
              <w:rPr>
                <w:rFonts w:cstheme="minorHAnsi"/>
                <w:b/>
                <w:bCs/>
                <w:color w:val="002060"/>
              </w:rPr>
              <w:t>nuove costruzioni, ristrutturazioni edilizie, gestione dei servizi educativi</w:t>
            </w:r>
            <w:r w:rsidR="00466254" w:rsidRPr="009E4161">
              <w:rPr>
                <w:rFonts w:cstheme="minorHAnsi"/>
                <w:b/>
                <w:bCs/>
                <w:color w:val="002060"/>
              </w:rPr>
              <w:t xml:space="preserve"> per l’infanzia e delle scuole dell’infanzia, formazione del personale ecc.</w:t>
            </w:r>
          </w:p>
          <w:p w14:paraId="5B4A8998" w14:textId="77777777" w:rsidR="00466254" w:rsidRPr="009E4161" w:rsidRDefault="00466254" w:rsidP="00E95B7E">
            <w:pPr>
              <w:jc w:val="both"/>
              <w:rPr>
                <w:rFonts w:cstheme="minorHAnsi"/>
                <w:b/>
                <w:bCs/>
                <w:i/>
                <w:iCs/>
                <w:color w:val="002060"/>
              </w:rPr>
            </w:pPr>
          </w:p>
          <w:p w14:paraId="0BAB4E62" w14:textId="3A7A7BEB" w:rsidR="00466254" w:rsidRPr="00F85F78" w:rsidRDefault="003A7164" w:rsidP="00E95B7E">
            <w:pPr>
              <w:jc w:val="both"/>
              <w:rPr>
                <w:rFonts w:cstheme="minorHAnsi"/>
                <w:b/>
                <w:bCs/>
                <w:color w:val="002060"/>
                <w:sz w:val="24"/>
                <w:szCs w:val="24"/>
              </w:rPr>
            </w:pPr>
            <w:r w:rsidRPr="009E4161">
              <w:rPr>
                <w:rFonts w:cstheme="minorHAnsi"/>
                <w:b/>
                <w:bCs/>
                <w:color w:val="002060"/>
              </w:rPr>
              <w:t>È previsto un incremento del Fondo di 60</w:t>
            </w:r>
            <w:r w:rsidR="003E1D63" w:rsidRPr="009E4161">
              <w:rPr>
                <w:rFonts w:cstheme="minorHAnsi"/>
                <w:b/>
                <w:bCs/>
                <w:color w:val="002060"/>
              </w:rPr>
              <w:t xml:space="preserve"> milioni di euro</w:t>
            </w:r>
            <w:r w:rsidR="00F85F78" w:rsidRPr="009E4161">
              <w:rPr>
                <w:rFonts w:cstheme="minorHAnsi"/>
                <w:b/>
                <w:bCs/>
                <w:color w:val="002060"/>
              </w:rPr>
              <w:t>.</w:t>
            </w:r>
          </w:p>
        </w:tc>
      </w:tr>
      <w:tr w:rsidR="00EB752F" w:rsidRPr="00511AFE" w14:paraId="1F44224A" w14:textId="77777777" w:rsidTr="00E95B7E">
        <w:tc>
          <w:tcPr>
            <w:tcW w:w="5228" w:type="dxa"/>
            <w:vMerge w:val="restart"/>
          </w:tcPr>
          <w:p w14:paraId="266BB024" w14:textId="77777777" w:rsidR="00EB752F" w:rsidRPr="00EB752F" w:rsidRDefault="00EB752F" w:rsidP="00E95B7E">
            <w:pPr>
              <w:autoSpaceDE w:val="0"/>
              <w:autoSpaceDN w:val="0"/>
              <w:adjustRightInd w:val="0"/>
              <w:jc w:val="both"/>
              <w:rPr>
                <w:rFonts w:cstheme="minorHAnsi"/>
                <w:b/>
                <w:bCs/>
                <w:i/>
                <w:iCs/>
                <w:color w:val="002060"/>
              </w:rPr>
            </w:pPr>
            <w:r w:rsidRPr="00EB752F">
              <w:rPr>
                <w:rFonts w:cstheme="minorHAnsi"/>
                <w:b/>
                <w:bCs/>
                <w:i/>
                <w:iCs/>
                <w:color w:val="002060"/>
              </w:rPr>
              <w:t>Comma 10</w:t>
            </w:r>
          </w:p>
          <w:p w14:paraId="1B4A3F29" w14:textId="23B308F7" w:rsidR="00EB752F" w:rsidRPr="00511AFE" w:rsidRDefault="00EB752F" w:rsidP="00E95B7E">
            <w:pPr>
              <w:autoSpaceDE w:val="0"/>
              <w:autoSpaceDN w:val="0"/>
              <w:adjustRightInd w:val="0"/>
              <w:jc w:val="both"/>
              <w:rPr>
                <w:rFonts w:cstheme="minorHAnsi"/>
                <w:color w:val="002060"/>
              </w:rPr>
            </w:pPr>
            <w:r w:rsidRPr="00511AFE">
              <w:rPr>
                <w:rFonts w:cstheme="minorHAnsi"/>
                <w:color w:val="002060"/>
              </w:rPr>
              <w:t>Al fine di continuare a promuovere misure e progetti di innovazione didattica e digitale nelle scuole,</w:t>
            </w:r>
            <w:r>
              <w:rPr>
                <w:rFonts w:cstheme="minorHAnsi"/>
                <w:color w:val="002060"/>
              </w:rPr>
              <w:t xml:space="preserve"> </w:t>
            </w:r>
            <w:r w:rsidRPr="00511AFE">
              <w:rPr>
                <w:rFonts w:cstheme="minorHAnsi"/>
                <w:color w:val="002060"/>
              </w:rPr>
              <w:t>all’articolo 1, comma 725, della legge 30 dicembre 2018, n. 145 sono apportate le seguenti modifiche:</w:t>
            </w:r>
          </w:p>
          <w:p w14:paraId="0A65BB0E" w14:textId="77777777" w:rsidR="00EB752F" w:rsidRPr="00511AFE" w:rsidRDefault="00EB752F" w:rsidP="00E95B7E">
            <w:pPr>
              <w:autoSpaceDE w:val="0"/>
              <w:autoSpaceDN w:val="0"/>
              <w:adjustRightInd w:val="0"/>
              <w:jc w:val="both"/>
              <w:rPr>
                <w:rFonts w:cstheme="minorHAnsi"/>
                <w:color w:val="002060"/>
              </w:rPr>
            </w:pPr>
            <w:r w:rsidRPr="00511AFE">
              <w:rPr>
                <w:rFonts w:cstheme="minorHAnsi"/>
                <w:color w:val="002060"/>
              </w:rPr>
              <w:t>a) dopo le parole “2020-2021” sono aggiunte le seguenti: “, 2021-2022 e 2022-2023”;</w:t>
            </w:r>
          </w:p>
          <w:p w14:paraId="0C3C688B" w14:textId="56950CEE" w:rsidR="00F80E49" w:rsidRPr="00F80E49" w:rsidRDefault="00EB752F" w:rsidP="00E95B7E">
            <w:pPr>
              <w:autoSpaceDE w:val="0"/>
              <w:autoSpaceDN w:val="0"/>
              <w:adjustRightInd w:val="0"/>
              <w:jc w:val="both"/>
              <w:rPr>
                <w:rFonts w:cstheme="minorHAnsi"/>
                <w:b/>
                <w:bCs/>
                <w:i/>
                <w:iCs/>
                <w:color w:val="002060"/>
              </w:rPr>
            </w:pPr>
            <w:r w:rsidRPr="00511AFE">
              <w:rPr>
                <w:rFonts w:cstheme="minorHAnsi"/>
                <w:color w:val="002060"/>
              </w:rPr>
              <w:t>b) le parole da “può essere esonerato dall’esercizio delle attività didattiche” a “equipe formative territoriali”</w:t>
            </w:r>
            <w:r>
              <w:rPr>
                <w:rFonts w:cstheme="minorHAnsi"/>
                <w:color w:val="002060"/>
              </w:rPr>
              <w:t xml:space="preserve"> </w:t>
            </w:r>
            <w:r w:rsidRPr="00511AFE">
              <w:rPr>
                <w:rFonts w:cstheme="minorHAnsi"/>
                <w:color w:val="002060"/>
              </w:rPr>
              <w:t>sono sostituite dalle seguenti: “sono individuate dal Ministero dell’istruzione le equipe formative territoriali</w:t>
            </w:r>
            <w:r>
              <w:rPr>
                <w:rFonts w:cstheme="minorHAnsi"/>
                <w:color w:val="002060"/>
              </w:rPr>
              <w:t xml:space="preserve"> </w:t>
            </w:r>
            <w:r w:rsidRPr="00511AFE">
              <w:rPr>
                <w:rFonts w:cstheme="minorHAnsi"/>
                <w:color w:val="002060"/>
              </w:rPr>
              <w:t>costituite da un numero di docenti pari a 20 da porre in posizione di comando presso gli Uffici scolastici regionali e presso l’Amministrazione centrale da destinare esclusivamente ad azioni di supporto al Piano</w:t>
            </w:r>
            <w:r>
              <w:rPr>
                <w:rFonts w:cstheme="minorHAnsi"/>
                <w:color w:val="002060"/>
              </w:rPr>
              <w:t xml:space="preserve"> </w:t>
            </w:r>
            <w:r w:rsidRPr="00511AFE">
              <w:rPr>
                <w:rFonts w:cstheme="minorHAnsi"/>
                <w:color w:val="002060"/>
              </w:rPr>
              <w:t>nazionale per la scuola digitale e un numero massimo di ulteriori 200 docenti da porre in semi esonero</w:t>
            </w:r>
            <w:r>
              <w:rPr>
                <w:rFonts w:cstheme="minorHAnsi"/>
                <w:color w:val="002060"/>
              </w:rPr>
              <w:t xml:space="preserve"> </w:t>
            </w:r>
            <w:r w:rsidRPr="00511AFE">
              <w:rPr>
                <w:rFonts w:cstheme="minorHAnsi"/>
                <w:color w:val="002060"/>
              </w:rPr>
              <w:t xml:space="preserve">dall’esercizio delle attività </w:t>
            </w:r>
            <w:r w:rsidRPr="00511AFE">
              <w:rPr>
                <w:rFonts w:cstheme="minorHAnsi"/>
                <w:color w:val="002060"/>
              </w:rPr>
              <w:lastRenderedPageBreak/>
              <w:t>didattiche per il 50 per cento dell’orario di servizio”.</w:t>
            </w:r>
            <w:r>
              <w:rPr>
                <w:rFonts w:cstheme="minorHAnsi"/>
                <w:color w:val="002060"/>
              </w:rPr>
              <w:t xml:space="preserve"> </w:t>
            </w:r>
            <w:r w:rsidR="00F80E49" w:rsidRPr="00F80E49">
              <w:rPr>
                <w:rFonts w:cstheme="minorHAnsi"/>
                <w:b/>
                <w:bCs/>
                <w:i/>
                <w:iCs/>
                <w:color w:val="002060"/>
              </w:rPr>
              <w:t>Comma 11.</w:t>
            </w:r>
          </w:p>
          <w:p w14:paraId="342E3102" w14:textId="330970E2" w:rsidR="00EB752F" w:rsidRPr="00511AFE" w:rsidRDefault="00EB752F" w:rsidP="00E95B7E">
            <w:pPr>
              <w:autoSpaceDE w:val="0"/>
              <w:autoSpaceDN w:val="0"/>
              <w:adjustRightInd w:val="0"/>
              <w:jc w:val="both"/>
              <w:rPr>
                <w:rFonts w:cstheme="minorHAnsi"/>
                <w:color w:val="002060"/>
              </w:rPr>
            </w:pPr>
            <w:r w:rsidRPr="00511AFE">
              <w:rPr>
                <w:rFonts w:cstheme="minorHAnsi"/>
                <w:color w:val="002060"/>
              </w:rPr>
              <w:t>Per l’attuazione del comma 10 è autorizzata la spesa pari a euro 1.446.158 per l’anno 2021, euro 3.615.396</w:t>
            </w:r>
            <w:r>
              <w:rPr>
                <w:rFonts w:cstheme="minorHAnsi"/>
                <w:color w:val="002060"/>
              </w:rPr>
              <w:t xml:space="preserve"> </w:t>
            </w:r>
            <w:r w:rsidRPr="00511AFE">
              <w:rPr>
                <w:rFonts w:cstheme="minorHAnsi"/>
                <w:color w:val="002060"/>
              </w:rPr>
              <w:t>per l’anno 2022 ed euro 2.169.238 per l’anno 2023.</w:t>
            </w:r>
          </w:p>
          <w:p w14:paraId="17F902A2" w14:textId="77777777" w:rsidR="00EB752F" w:rsidRPr="00511AFE" w:rsidRDefault="00EB752F" w:rsidP="00E95B7E">
            <w:pPr>
              <w:autoSpaceDE w:val="0"/>
              <w:autoSpaceDN w:val="0"/>
              <w:adjustRightInd w:val="0"/>
              <w:jc w:val="both"/>
              <w:rPr>
                <w:rFonts w:cstheme="minorHAnsi"/>
                <w:color w:val="002060"/>
              </w:rPr>
            </w:pPr>
          </w:p>
        </w:tc>
        <w:tc>
          <w:tcPr>
            <w:tcW w:w="5228" w:type="dxa"/>
            <w:shd w:val="clear" w:color="auto" w:fill="FFC000"/>
          </w:tcPr>
          <w:p w14:paraId="46E6CC9B" w14:textId="767FCF1F" w:rsidR="00EB752F" w:rsidRPr="00F85F78" w:rsidRDefault="00F85F78" w:rsidP="00E95B7E">
            <w:pPr>
              <w:jc w:val="center"/>
              <w:rPr>
                <w:rFonts w:cstheme="minorHAnsi"/>
                <w:b/>
                <w:bCs/>
                <w:color w:val="002060"/>
              </w:rPr>
            </w:pPr>
            <w:r w:rsidRPr="00F85F78">
              <w:rPr>
                <w:rFonts w:cstheme="minorHAnsi"/>
                <w:b/>
                <w:bCs/>
                <w:color w:val="002060"/>
                <w:sz w:val="24"/>
                <w:szCs w:val="24"/>
              </w:rPr>
              <w:lastRenderedPageBreak/>
              <w:t>E</w:t>
            </w:r>
            <w:r w:rsidR="00861F9A" w:rsidRPr="00F85F78">
              <w:rPr>
                <w:rFonts w:cstheme="minorHAnsi"/>
                <w:b/>
                <w:bCs/>
                <w:color w:val="002060"/>
                <w:sz w:val="24"/>
                <w:szCs w:val="24"/>
              </w:rPr>
              <w:t>quipe formative</w:t>
            </w:r>
          </w:p>
        </w:tc>
      </w:tr>
      <w:tr w:rsidR="00EB752F" w:rsidRPr="00511AFE" w14:paraId="4D4BE6D4" w14:textId="77777777" w:rsidTr="00E95B7E">
        <w:tc>
          <w:tcPr>
            <w:tcW w:w="5228" w:type="dxa"/>
            <w:vMerge/>
          </w:tcPr>
          <w:p w14:paraId="13E42B68" w14:textId="77777777" w:rsidR="00EB752F" w:rsidRPr="00511AFE" w:rsidRDefault="00EB752F" w:rsidP="00E95B7E">
            <w:pPr>
              <w:jc w:val="both"/>
              <w:rPr>
                <w:rFonts w:cstheme="minorHAnsi"/>
                <w:color w:val="002060"/>
              </w:rPr>
            </w:pPr>
          </w:p>
        </w:tc>
        <w:tc>
          <w:tcPr>
            <w:tcW w:w="5228" w:type="dxa"/>
          </w:tcPr>
          <w:p w14:paraId="40B5A884" w14:textId="77777777" w:rsidR="00EB752F" w:rsidRDefault="00EB752F" w:rsidP="00E95B7E">
            <w:pPr>
              <w:jc w:val="both"/>
              <w:rPr>
                <w:rFonts w:cstheme="minorHAnsi"/>
                <w:color w:val="002060"/>
              </w:rPr>
            </w:pPr>
          </w:p>
          <w:p w14:paraId="46F0899A" w14:textId="77777777" w:rsidR="00C924C9" w:rsidRPr="006129A6" w:rsidRDefault="006D2749" w:rsidP="00E95B7E">
            <w:pPr>
              <w:jc w:val="center"/>
              <w:rPr>
                <w:rFonts w:cstheme="minorHAnsi"/>
                <w:b/>
                <w:bCs/>
                <w:color w:val="002060"/>
              </w:rPr>
            </w:pPr>
            <w:r w:rsidRPr="006129A6">
              <w:rPr>
                <w:rFonts w:cstheme="minorHAnsi"/>
                <w:b/>
                <w:bCs/>
                <w:color w:val="002060"/>
              </w:rPr>
              <w:t xml:space="preserve">Per </w:t>
            </w:r>
            <w:r w:rsidR="00C924C9" w:rsidRPr="006129A6">
              <w:rPr>
                <w:rFonts w:cstheme="minorHAnsi"/>
                <w:b/>
                <w:bCs/>
                <w:color w:val="002060"/>
              </w:rPr>
              <w:t>gli aa.ss.</w:t>
            </w:r>
            <w:r w:rsidRPr="006129A6">
              <w:rPr>
                <w:rFonts w:cstheme="minorHAnsi"/>
                <w:b/>
                <w:bCs/>
                <w:color w:val="002060"/>
              </w:rPr>
              <w:t xml:space="preserve"> </w:t>
            </w:r>
            <w:r w:rsidR="00C924C9" w:rsidRPr="006129A6">
              <w:rPr>
                <w:rFonts w:cstheme="minorHAnsi"/>
                <w:b/>
                <w:bCs/>
                <w:color w:val="002060"/>
              </w:rPr>
              <w:t>21/22 e 22/23</w:t>
            </w:r>
          </w:p>
          <w:p w14:paraId="4DD61209" w14:textId="77777777" w:rsidR="00C924C9" w:rsidRDefault="00C924C9" w:rsidP="00E95B7E">
            <w:pPr>
              <w:jc w:val="both"/>
              <w:rPr>
                <w:rFonts w:cstheme="minorHAnsi"/>
                <w:b/>
                <w:bCs/>
                <w:color w:val="002060"/>
              </w:rPr>
            </w:pPr>
          </w:p>
          <w:p w14:paraId="2146F797" w14:textId="1AEE94FB" w:rsidR="00F85F78" w:rsidRDefault="00363237" w:rsidP="00E95B7E">
            <w:pPr>
              <w:jc w:val="both"/>
              <w:rPr>
                <w:rFonts w:cstheme="minorHAnsi"/>
                <w:b/>
                <w:bCs/>
                <w:color w:val="002060"/>
              </w:rPr>
            </w:pPr>
            <w:r w:rsidRPr="00312A10">
              <w:rPr>
                <w:rFonts w:cstheme="minorHAnsi"/>
                <w:b/>
                <w:bCs/>
                <w:color w:val="002060"/>
              </w:rPr>
              <w:t>Riguarda i</w:t>
            </w:r>
            <w:r w:rsidR="000C6DB0">
              <w:rPr>
                <w:rFonts w:cstheme="minorHAnsi"/>
                <w:b/>
                <w:bCs/>
                <w:color w:val="002060"/>
              </w:rPr>
              <w:t xml:space="preserve">l numero di </w:t>
            </w:r>
            <w:r w:rsidR="008474A7" w:rsidRPr="00312A10">
              <w:rPr>
                <w:rFonts w:cstheme="minorHAnsi"/>
                <w:b/>
                <w:bCs/>
                <w:color w:val="002060"/>
              </w:rPr>
              <w:t xml:space="preserve">docenti </w:t>
            </w:r>
            <w:r w:rsidR="000C6DB0">
              <w:rPr>
                <w:rFonts w:cstheme="minorHAnsi"/>
                <w:b/>
                <w:bCs/>
                <w:color w:val="002060"/>
              </w:rPr>
              <w:t xml:space="preserve">(pari a 20) </w:t>
            </w:r>
            <w:r w:rsidR="00C924C9">
              <w:rPr>
                <w:rFonts w:cstheme="minorHAnsi"/>
                <w:b/>
                <w:bCs/>
                <w:color w:val="002060"/>
              </w:rPr>
              <w:t xml:space="preserve">che possono essere </w:t>
            </w:r>
            <w:r w:rsidR="008474A7" w:rsidRPr="00312A10">
              <w:rPr>
                <w:rFonts w:cstheme="minorHAnsi"/>
                <w:b/>
                <w:bCs/>
                <w:color w:val="002060"/>
              </w:rPr>
              <w:t>distaccati presso gli Uffici Scolastici Region</w:t>
            </w:r>
            <w:r w:rsidRPr="00312A10">
              <w:rPr>
                <w:rFonts w:cstheme="minorHAnsi"/>
                <w:b/>
                <w:bCs/>
                <w:color w:val="002060"/>
              </w:rPr>
              <w:t>al</w:t>
            </w:r>
            <w:r w:rsidR="008474A7" w:rsidRPr="00312A10">
              <w:rPr>
                <w:rFonts w:cstheme="minorHAnsi"/>
                <w:b/>
                <w:bCs/>
                <w:color w:val="002060"/>
              </w:rPr>
              <w:t xml:space="preserve">i </w:t>
            </w:r>
            <w:r w:rsidR="00CA6278" w:rsidRPr="00312A10">
              <w:rPr>
                <w:rFonts w:cstheme="minorHAnsi"/>
                <w:b/>
                <w:bCs/>
                <w:color w:val="002060"/>
              </w:rPr>
              <w:t xml:space="preserve">o presso l’Amministrazione Centrale per svolgere attività di coordinamento e supporto in favore del Piano nazionale </w:t>
            </w:r>
            <w:r w:rsidR="0006664C" w:rsidRPr="00312A10">
              <w:rPr>
                <w:rFonts w:cstheme="minorHAnsi"/>
                <w:b/>
                <w:bCs/>
                <w:color w:val="002060"/>
              </w:rPr>
              <w:t>per la scuola digitale</w:t>
            </w:r>
            <w:r w:rsidR="00A62043" w:rsidRPr="00312A10">
              <w:rPr>
                <w:rFonts w:cstheme="minorHAnsi"/>
                <w:b/>
                <w:bCs/>
                <w:color w:val="002060"/>
              </w:rPr>
              <w:t>, e</w:t>
            </w:r>
            <w:r w:rsidR="00C603BD">
              <w:rPr>
                <w:rFonts w:cstheme="minorHAnsi"/>
                <w:b/>
                <w:bCs/>
                <w:color w:val="002060"/>
              </w:rPr>
              <w:t xml:space="preserve"> di</w:t>
            </w:r>
            <w:r w:rsidR="00A62043" w:rsidRPr="00312A10">
              <w:rPr>
                <w:rFonts w:cstheme="minorHAnsi"/>
                <w:b/>
                <w:bCs/>
                <w:color w:val="002060"/>
              </w:rPr>
              <w:t xml:space="preserve"> </w:t>
            </w:r>
            <w:r w:rsidR="00C924C9">
              <w:rPr>
                <w:rFonts w:cstheme="minorHAnsi"/>
                <w:b/>
                <w:bCs/>
                <w:color w:val="002060"/>
              </w:rPr>
              <w:t>quello di</w:t>
            </w:r>
            <w:r w:rsidR="00A62043" w:rsidRPr="00312A10">
              <w:rPr>
                <w:rFonts w:cstheme="minorHAnsi"/>
                <w:b/>
                <w:bCs/>
                <w:color w:val="002060"/>
              </w:rPr>
              <w:t xml:space="preserve"> docenti </w:t>
            </w:r>
            <w:r w:rsidR="00C603BD">
              <w:rPr>
                <w:rFonts w:cstheme="minorHAnsi"/>
                <w:b/>
                <w:bCs/>
                <w:color w:val="002060"/>
              </w:rPr>
              <w:t xml:space="preserve">(pari a 200) </w:t>
            </w:r>
            <w:r w:rsidR="00A62043" w:rsidRPr="00312A10">
              <w:rPr>
                <w:rFonts w:cstheme="minorHAnsi"/>
                <w:b/>
                <w:bCs/>
                <w:color w:val="002060"/>
              </w:rPr>
              <w:t>che svolgono la loro attiv</w:t>
            </w:r>
            <w:r w:rsidR="00312A10" w:rsidRPr="00312A10">
              <w:rPr>
                <w:rFonts w:cstheme="minorHAnsi"/>
                <w:b/>
                <w:bCs/>
                <w:color w:val="002060"/>
              </w:rPr>
              <w:t>i</w:t>
            </w:r>
            <w:r w:rsidR="00A62043" w:rsidRPr="00312A10">
              <w:rPr>
                <w:rFonts w:cstheme="minorHAnsi"/>
                <w:b/>
                <w:bCs/>
                <w:color w:val="002060"/>
              </w:rPr>
              <w:t>tà presso le scuole, destinatari del semi-esonero</w:t>
            </w:r>
            <w:r w:rsidR="00312A10" w:rsidRPr="00312A10">
              <w:rPr>
                <w:rFonts w:cstheme="minorHAnsi"/>
                <w:b/>
                <w:bCs/>
                <w:color w:val="002060"/>
              </w:rPr>
              <w:t>, e che comunque svolgono il 50% dell’orario di servizio.</w:t>
            </w:r>
          </w:p>
          <w:p w14:paraId="5A6EEB3F" w14:textId="6C43BE7A" w:rsidR="00C603BD" w:rsidRDefault="00C603BD" w:rsidP="00E95B7E">
            <w:pPr>
              <w:jc w:val="both"/>
              <w:rPr>
                <w:rFonts w:cstheme="minorHAnsi"/>
                <w:b/>
                <w:bCs/>
                <w:color w:val="002060"/>
              </w:rPr>
            </w:pPr>
          </w:p>
          <w:p w14:paraId="7DEF526A" w14:textId="77777777" w:rsidR="00C603BD" w:rsidRPr="00312A10" w:rsidRDefault="00C603BD" w:rsidP="00E95B7E">
            <w:pPr>
              <w:jc w:val="both"/>
              <w:rPr>
                <w:rFonts w:cstheme="minorHAnsi"/>
                <w:b/>
                <w:bCs/>
                <w:color w:val="002060"/>
              </w:rPr>
            </w:pPr>
          </w:p>
          <w:p w14:paraId="3886102C" w14:textId="1508ED75" w:rsidR="00312A10" w:rsidRPr="00C218C1" w:rsidRDefault="00312A10" w:rsidP="00E95B7E">
            <w:pPr>
              <w:jc w:val="both"/>
              <w:rPr>
                <w:rFonts w:cstheme="minorHAnsi"/>
                <w:b/>
                <w:bCs/>
                <w:i/>
                <w:iCs/>
                <w:color w:val="002060"/>
              </w:rPr>
            </w:pPr>
          </w:p>
          <w:p w14:paraId="3361E2F0" w14:textId="4FD8501C" w:rsidR="00312A10" w:rsidRPr="00511AFE" w:rsidRDefault="00312A10" w:rsidP="00E95B7E">
            <w:pPr>
              <w:jc w:val="both"/>
              <w:rPr>
                <w:rFonts w:cstheme="minorHAnsi"/>
                <w:color w:val="002060"/>
              </w:rPr>
            </w:pPr>
          </w:p>
        </w:tc>
      </w:tr>
      <w:tr w:rsidR="007155BB" w14:paraId="51BC7F45" w14:textId="77777777" w:rsidTr="00E95B7E">
        <w:trPr>
          <w:trHeight w:val="990"/>
        </w:trPr>
        <w:tc>
          <w:tcPr>
            <w:tcW w:w="5228" w:type="dxa"/>
            <w:vMerge w:val="restart"/>
          </w:tcPr>
          <w:p w14:paraId="476B4DD6" w14:textId="77777777" w:rsidR="007155BB" w:rsidRPr="00EB752F" w:rsidRDefault="007155BB" w:rsidP="00E95B7E">
            <w:pPr>
              <w:autoSpaceDE w:val="0"/>
              <w:autoSpaceDN w:val="0"/>
              <w:adjustRightInd w:val="0"/>
              <w:jc w:val="both"/>
              <w:rPr>
                <w:rFonts w:cstheme="minorHAnsi"/>
                <w:b/>
                <w:bCs/>
                <w:i/>
                <w:iCs/>
                <w:color w:val="002060"/>
              </w:rPr>
            </w:pPr>
            <w:r w:rsidRPr="00EB752F">
              <w:rPr>
                <w:rFonts w:cstheme="minorHAnsi"/>
                <w:b/>
                <w:bCs/>
                <w:i/>
                <w:iCs/>
                <w:color w:val="002060"/>
              </w:rPr>
              <w:t>Comma 1</w:t>
            </w:r>
            <w:r>
              <w:rPr>
                <w:rFonts w:cstheme="minorHAnsi"/>
                <w:b/>
                <w:bCs/>
                <w:i/>
                <w:iCs/>
                <w:color w:val="002060"/>
              </w:rPr>
              <w:t>2</w:t>
            </w:r>
          </w:p>
          <w:p w14:paraId="7A95E76D" w14:textId="77777777" w:rsidR="007155BB" w:rsidRPr="00511AFE" w:rsidRDefault="007155BB" w:rsidP="00E95B7E">
            <w:pPr>
              <w:autoSpaceDE w:val="0"/>
              <w:autoSpaceDN w:val="0"/>
              <w:adjustRightInd w:val="0"/>
              <w:jc w:val="both"/>
              <w:rPr>
                <w:rFonts w:cstheme="minorHAnsi"/>
                <w:color w:val="002060"/>
              </w:rPr>
            </w:pPr>
            <w:r w:rsidRPr="00511AFE">
              <w:rPr>
                <w:rFonts w:cstheme="minorHAnsi"/>
                <w:color w:val="002060"/>
              </w:rPr>
              <w:t>All'articolo 1, comma 330, della legge 23 dicembre 2014, n. 190, le parole: «2021/2022» sono sostituite</w:t>
            </w:r>
            <w:r>
              <w:rPr>
                <w:rFonts w:cstheme="minorHAnsi"/>
                <w:color w:val="002060"/>
              </w:rPr>
              <w:t xml:space="preserve"> </w:t>
            </w:r>
            <w:r w:rsidRPr="00511AFE">
              <w:rPr>
                <w:rFonts w:cstheme="minorHAnsi"/>
                <w:color w:val="002060"/>
              </w:rPr>
              <w:t>dalle seguenti: «2022/2023».</w:t>
            </w:r>
          </w:p>
          <w:p w14:paraId="6EF5A0FB" w14:textId="77777777" w:rsidR="007155BB" w:rsidRDefault="007155BB" w:rsidP="00E95B7E">
            <w:pPr>
              <w:autoSpaceDE w:val="0"/>
              <w:autoSpaceDN w:val="0"/>
              <w:adjustRightInd w:val="0"/>
              <w:jc w:val="both"/>
              <w:rPr>
                <w:rFonts w:cstheme="minorHAnsi"/>
                <w:b/>
                <w:bCs/>
                <w:i/>
                <w:iCs/>
                <w:color w:val="002060"/>
              </w:rPr>
            </w:pPr>
          </w:p>
        </w:tc>
        <w:tc>
          <w:tcPr>
            <w:tcW w:w="5228" w:type="dxa"/>
            <w:shd w:val="clear" w:color="auto" w:fill="FFC000"/>
          </w:tcPr>
          <w:p w14:paraId="602DA269" w14:textId="17414132" w:rsidR="007155BB" w:rsidRPr="00F61143" w:rsidRDefault="007155BB" w:rsidP="00E95B7E">
            <w:pPr>
              <w:autoSpaceDE w:val="0"/>
              <w:autoSpaceDN w:val="0"/>
              <w:adjustRightInd w:val="0"/>
              <w:jc w:val="both"/>
              <w:rPr>
                <w:rFonts w:cstheme="minorHAnsi"/>
                <w:b/>
                <w:bCs/>
                <w:color w:val="002060"/>
              </w:rPr>
            </w:pPr>
            <w:r w:rsidRPr="00CE51F2">
              <w:rPr>
                <w:rFonts w:cstheme="minorHAnsi"/>
                <w:b/>
                <w:bCs/>
                <w:color w:val="002060"/>
                <w:sz w:val="24"/>
                <w:szCs w:val="24"/>
              </w:rPr>
              <w:t>Personale utilizzato presso gli enti del disagio giovanile o presso le associazioni professionali del settore scuol</w:t>
            </w:r>
            <w:r w:rsidR="00EC14E3">
              <w:rPr>
                <w:rFonts w:cstheme="minorHAnsi"/>
                <w:b/>
                <w:bCs/>
                <w:color w:val="002060"/>
                <w:sz w:val="24"/>
                <w:szCs w:val="24"/>
              </w:rPr>
              <w:t>a</w:t>
            </w:r>
          </w:p>
        </w:tc>
      </w:tr>
      <w:tr w:rsidR="007155BB" w14:paraId="7F860415" w14:textId="77777777" w:rsidTr="00E95B7E">
        <w:trPr>
          <w:trHeight w:val="435"/>
        </w:trPr>
        <w:tc>
          <w:tcPr>
            <w:tcW w:w="5228" w:type="dxa"/>
            <w:vMerge/>
          </w:tcPr>
          <w:p w14:paraId="51989A5A" w14:textId="77777777" w:rsidR="007155BB" w:rsidRPr="00EB752F" w:rsidRDefault="007155BB" w:rsidP="00E95B7E">
            <w:pPr>
              <w:autoSpaceDE w:val="0"/>
              <w:autoSpaceDN w:val="0"/>
              <w:adjustRightInd w:val="0"/>
              <w:jc w:val="both"/>
              <w:rPr>
                <w:rFonts w:cstheme="minorHAnsi"/>
                <w:b/>
                <w:bCs/>
                <w:i/>
                <w:iCs/>
                <w:color w:val="002060"/>
              </w:rPr>
            </w:pPr>
          </w:p>
        </w:tc>
        <w:tc>
          <w:tcPr>
            <w:tcW w:w="5228" w:type="dxa"/>
            <w:tcBorders>
              <w:bottom w:val="single" w:sz="4" w:space="0" w:color="auto"/>
            </w:tcBorders>
          </w:tcPr>
          <w:p w14:paraId="6DDA6C83" w14:textId="730A28A0" w:rsidR="00926C8C" w:rsidRPr="00926C8C" w:rsidRDefault="0066633D" w:rsidP="001118EB">
            <w:pPr>
              <w:shd w:val="clear" w:color="auto" w:fill="FFFFFF"/>
              <w:spacing w:before="240" w:after="375"/>
              <w:jc w:val="both"/>
              <w:rPr>
                <w:rFonts w:eastAsia="Times New Roman" w:cstheme="minorHAnsi"/>
                <w:b/>
                <w:bCs/>
                <w:color w:val="002060"/>
                <w:lang w:eastAsia="it-IT"/>
              </w:rPr>
            </w:pPr>
            <w:r>
              <w:rPr>
                <w:rFonts w:eastAsia="Times New Roman" w:cstheme="minorHAnsi"/>
                <w:b/>
                <w:bCs/>
                <w:color w:val="002060"/>
                <w:lang w:eastAsia="it-IT"/>
              </w:rPr>
              <w:t>Per l’a.s. 202</w:t>
            </w:r>
            <w:r w:rsidR="00D11EDB">
              <w:rPr>
                <w:rFonts w:eastAsia="Times New Roman" w:cstheme="minorHAnsi"/>
                <w:b/>
                <w:bCs/>
                <w:color w:val="002060"/>
                <w:lang w:eastAsia="it-IT"/>
              </w:rPr>
              <w:t>0</w:t>
            </w:r>
            <w:r>
              <w:rPr>
                <w:rFonts w:eastAsia="Times New Roman" w:cstheme="minorHAnsi"/>
                <w:b/>
                <w:bCs/>
                <w:color w:val="002060"/>
                <w:lang w:eastAsia="it-IT"/>
              </w:rPr>
              <w:t>/21 p</w:t>
            </w:r>
            <w:r w:rsidR="00926C8C" w:rsidRPr="00926C8C">
              <w:rPr>
                <w:rFonts w:eastAsia="Times New Roman" w:cstheme="minorHAnsi"/>
                <w:b/>
                <w:bCs/>
                <w:color w:val="002060"/>
                <w:lang w:eastAsia="it-IT"/>
              </w:rPr>
              <w:t>oss</w:t>
            </w:r>
            <w:r w:rsidR="00F61143" w:rsidRPr="00F61143">
              <w:rPr>
                <w:rFonts w:eastAsia="Times New Roman" w:cstheme="minorHAnsi"/>
                <w:b/>
                <w:bCs/>
                <w:color w:val="002060"/>
                <w:lang w:eastAsia="it-IT"/>
              </w:rPr>
              <w:t>o</w:t>
            </w:r>
            <w:r w:rsidR="00926C8C" w:rsidRPr="00926C8C">
              <w:rPr>
                <w:rFonts w:eastAsia="Times New Roman" w:cstheme="minorHAnsi"/>
                <w:b/>
                <w:bCs/>
                <w:color w:val="002060"/>
                <w:lang w:eastAsia="it-IT"/>
              </w:rPr>
              <w:t xml:space="preserve">no essere disposte assegnazioni di docenti e dirigenti scolastici nel limite massimo di </w:t>
            </w:r>
            <w:r w:rsidR="00926C8C" w:rsidRPr="00F61143">
              <w:rPr>
                <w:rFonts w:eastAsia="Times New Roman" w:cstheme="minorHAnsi"/>
                <w:b/>
                <w:bCs/>
                <w:color w:val="002060"/>
                <w:lang w:eastAsia="it-IT"/>
              </w:rPr>
              <w:t>150 unità</w:t>
            </w:r>
            <w:r w:rsidR="00323F47">
              <w:rPr>
                <w:rFonts w:eastAsia="Times New Roman" w:cstheme="minorHAnsi"/>
                <w:b/>
                <w:bCs/>
                <w:color w:val="002060"/>
                <w:lang w:eastAsia="it-IT"/>
              </w:rPr>
              <w:t>.</w:t>
            </w:r>
          </w:p>
          <w:p w14:paraId="6F81BCD2" w14:textId="0B32866F" w:rsidR="00926C8C" w:rsidRPr="00926C8C" w:rsidRDefault="00926C8C" w:rsidP="00E95B7E">
            <w:pPr>
              <w:shd w:val="clear" w:color="auto" w:fill="FFFFFF"/>
              <w:jc w:val="both"/>
              <w:rPr>
                <w:rFonts w:eastAsia="Times New Roman" w:cstheme="minorHAnsi"/>
                <w:b/>
                <w:bCs/>
                <w:color w:val="002060"/>
                <w:lang w:eastAsia="it-IT"/>
              </w:rPr>
            </w:pPr>
            <w:r w:rsidRPr="00926C8C">
              <w:rPr>
                <w:rFonts w:eastAsia="Times New Roman" w:cstheme="minorHAnsi"/>
                <w:b/>
                <w:bCs/>
                <w:color w:val="002060"/>
                <w:lang w:eastAsia="it-IT"/>
              </w:rPr>
              <w:t>Tali assegnazioni possono essere disposte:</w:t>
            </w:r>
          </w:p>
          <w:p w14:paraId="5F35BF65" w14:textId="77777777" w:rsidR="00926C8C" w:rsidRPr="00926C8C" w:rsidRDefault="00926C8C" w:rsidP="00E95B7E">
            <w:pPr>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60"/>
              <w:jc w:val="both"/>
              <w:rPr>
                <w:rFonts w:eastAsia="Times New Roman" w:cstheme="minorHAnsi"/>
                <w:b/>
                <w:bCs/>
                <w:color w:val="002060"/>
                <w:lang w:eastAsia="it-IT"/>
              </w:rPr>
            </w:pPr>
            <w:r w:rsidRPr="00926C8C">
              <w:rPr>
                <w:rFonts w:eastAsia="Times New Roman" w:cstheme="minorHAnsi"/>
                <w:b/>
                <w:bCs/>
                <w:color w:val="002060"/>
                <w:lang w:eastAsia="it-IT"/>
              </w:rPr>
              <w:t>presso gli enti e le associazioni che svolgono attività di prevenzione del disagio psico-sociale, assistenza, cura, riabilitazione e reinserimento di tossicodipendenti;</w:t>
            </w:r>
          </w:p>
          <w:p w14:paraId="2BFC7051" w14:textId="77777777" w:rsidR="00926C8C" w:rsidRPr="00926C8C" w:rsidRDefault="00926C8C" w:rsidP="00E95B7E">
            <w:pPr>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60"/>
              <w:jc w:val="both"/>
              <w:rPr>
                <w:rFonts w:eastAsia="Times New Roman" w:cstheme="minorHAnsi"/>
                <w:b/>
                <w:bCs/>
                <w:color w:val="002060"/>
                <w:lang w:eastAsia="it-IT"/>
              </w:rPr>
            </w:pPr>
            <w:r w:rsidRPr="00926C8C">
              <w:rPr>
                <w:rFonts w:eastAsia="Times New Roman" w:cstheme="minorHAnsi"/>
                <w:b/>
                <w:bCs/>
                <w:color w:val="002060"/>
                <w:lang w:eastAsia="it-IT"/>
              </w:rPr>
              <w:t>presso le associazioni professionali del personale direttivo e docente e presso gli enti cooperativi da esse promossi;</w:t>
            </w:r>
          </w:p>
          <w:p w14:paraId="0E6D991D" w14:textId="77777777" w:rsidR="00926C8C" w:rsidRPr="00926C8C" w:rsidRDefault="00926C8C" w:rsidP="00E95B7E">
            <w:pPr>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60"/>
              <w:jc w:val="both"/>
              <w:rPr>
                <w:rFonts w:eastAsia="Times New Roman" w:cstheme="minorHAnsi"/>
                <w:b/>
                <w:bCs/>
                <w:color w:val="002060"/>
                <w:lang w:eastAsia="it-IT"/>
              </w:rPr>
            </w:pPr>
            <w:r w:rsidRPr="00926C8C">
              <w:rPr>
                <w:rFonts w:eastAsia="Times New Roman" w:cstheme="minorHAnsi"/>
                <w:b/>
                <w:bCs/>
                <w:color w:val="002060"/>
                <w:lang w:eastAsia="it-IT"/>
              </w:rPr>
              <w:t>presso gli enti e le istituzioni che svolgono, per loro finalità istituzionale, impegni nel campo della formazione e della ricerca educativa e didattica.</w:t>
            </w:r>
          </w:p>
          <w:p w14:paraId="690CBE2B" w14:textId="37821FB4" w:rsidR="00912BCA" w:rsidRDefault="00743259" w:rsidP="00E95B7E">
            <w:pPr>
              <w:jc w:val="both"/>
              <w:rPr>
                <w:b/>
                <w:bCs/>
                <w:color w:val="002060"/>
              </w:rPr>
            </w:pPr>
            <w:r w:rsidRPr="00912BCA">
              <w:rPr>
                <w:b/>
                <w:bCs/>
                <w:color w:val="002060"/>
              </w:rPr>
              <w:t>È inoltre possibile il collocamento presso università ed enti di ricerca e formazione con oneri a carico di questi ultimi</w:t>
            </w:r>
            <w:r w:rsidR="00912BCA" w:rsidRPr="00912BCA">
              <w:rPr>
                <w:b/>
                <w:bCs/>
                <w:color w:val="002060"/>
              </w:rPr>
              <w:t>.</w:t>
            </w:r>
          </w:p>
          <w:p w14:paraId="16070C58" w14:textId="77777777" w:rsidR="00DF5F03" w:rsidRPr="00912BCA" w:rsidRDefault="00DF5F03" w:rsidP="00E95B7E">
            <w:pPr>
              <w:jc w:val="both"/>
              <w:rPr>
                <w:b/>
                <w:bCs/>
                <w:color w:val="002060"/>
              </w:rPr>
            </w:pPr>
          </w:p>
          <w:p w14:paraId="56E405C1" w14:textId="77777777" w:rsidR="007155BB" w:rsidRDefault="00743259" w:rsidP="00E95B7E">
            <w:pPr>
              <w:jc w:val="both"/>
              <w:rPr>
                <w:b/>
                <w:bCs/>
                <w:lang w:eastAsia="it-IT"/>
              </w:rPr>
            </w:pPr>
            <w:r w:rsidRPr="00912BCA">
              <w:rPr>
                <w:b/>
                <w:bCs/>
                <w:color w:val="002060"/>
              </w:rPr>
              <w:t>Le suddette assegnazioni comportano il collocamento in posizione di fuori ruolo e, dopo cinque anni continuativi, la perdita della titolarità</w:t>
            </w:r>
            <w:r w:rsidR="00973E59">
              <w:rPr>
                <w:b/>
                <w:bCs/>
                <w:color w:val="002060"/>
              </w:rPr>
              <w:t>.</w:t>
            </w:r>
            <w:r w:rsidR="00C218C1">
              <w:rPr>
                <w:b/>
                <w:bCs/>
                <w:color w:val="002060"/>
              </w:rPr>
              <w:br/>
            </w:r>
          </w:p>
          <w:p w14:paraId="6666598B" w14:textId="0679CBAD" w:rsidR="00C218C1" w:rsidRPr="00912BCA" w:rsidRDefault="00C218C1" w:rsidP="00E95B7E">
            <w:pPr>
              <w:jc w:val="both"/>
              <w:rPr>
                <w:lang w:eastAsia="it-IT"/>
              </w:rPr>
            </w:pPr>
          </w:p>
        </w:tc>
      </w:tr>
    </w:tbl>
    <w:p w14:paraId="000DE91B" w14:textId="14D3C8D9" w:rsidR="00982D1F" w:rsidRPr="00511AFE" w:rsidRDefault="00E95B7E" w:rsidP="00511AFE">
      <w:pPr>
        <w:autoSpaceDE w:val="0"/>
        <w:autoSpaceDN w:val="0"/>
        <w:adjustRightInd w:val="0"/>
        <w:spacing w:after="0" w:line="240" w:lineRule="auto"/>
        <w:jc w:val="both"/>
        <w:rPr>
          <w:rFonts w:cstheme="minorHAnsi"/>
          <w:b/>
          <w:bCs/>
          <w:i/>
          <w:iCs/>
          <w:color w:val="002060"/>
        </w:rPr>
      </w:pPr>
      <w:r>
        <w:rPr>
          <w:rFonts w:cstheme="minorHAnsi"/>
          <w:b/>
          <w:bCs/>
          <w:i/>
          <w:iCs/>
          <w:color w:val="002060"/>
        </w:rPr>
        <w:br w:type="textWrapping" w:clear="all"/>
      </w:r>
    </w:p>
    <w:p w14:paraId="75E601BC" w14:textId="5525A35C" w:rsidR="008474A7" w:rsidRPr="00511AFE" w:rsidRDefault="008474A7" w:rsidP="008474A7">
      <w:pPr>
        <w:autoSpaceDE w:val="0"/>
        <w:autoSpaceDN w:val="0"/>
        <w:adjustRightInd w:val="0"/>
        <w:spacing w:after="0" w:line="240" w:lineRule="auto"/>
        <w:jc w:val="both"/>
        <w:rPr>
          <w:rFonts w:ascii="Times New Roman" w:hAnsi="Times New Roman" w:cs="Times New Roman"/>
          <w:color w:val="002060"/>
        </w:rPr>
      </w:pPr>
    </w:p>
    <w:p w14:paraId="0B921060" w14:textId="326ED60D" w:rsidR="008E5A35" w:rsidRPr="00511AFE" w:rsidRDefault="008E5A35" w:rsidP="002A68A4">
      <w:pPr>
        <w:autoSpaceDE w:val="0"/>
        <w:autoSpaceDN w:val="0"/>
        <w:adjustRightInd w:val="0"/>
        <w:spacing w:after="0" w:line="240" w:lineRule="auto"/>
        <w:jc w:val="both"/>
        <w:rPr>
          <w:color w:val="002060"/>
        </w:rPr>
      </w:pPr>
      <w:r w:rsidRPr="00511AFE">
        <w:rPr>
          <w:rFonts w:ascii="Times New Roman" w:hAnsi="Times New Roman" w:cs="Times New Roman"/>
          <w:color w:val="002060"/>
        </w:rPr>
        <w:t xml:space="preserve"> </w:t>
      </w:r>
    </w:p>
    <w:sectPr w:rsidR="008E5A35" w:rsidRPr="00511AFE" w:rsidSect="008E5A35">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2B7E0" w14:textId="77777777" w:rsidR="00670FEA" w:rsidRDefault="00670FEA" w:rsidP="00912BCA">
      <w:pPr>
        <w:spacing w:after="0" w:line="240" w:lineRule="auto"/>
      </w:pPr>
      <w:r>
        <w:separator/>
      </w:r>
    </w:p>
  </w:endnote>
  <w:endnote w:type="continuationSeparator" w:id="0">
    <w:p w14:paraId="2E3A31C6" w14:textId="77777777" w:rsidR="00670FEA" w:rsidRDefault="00670FEA" w:rsidP="00912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784004"/>
      <w:docPartObj>
        <w:docPartGallery w:val="Page Numbers (Bottom of Page)"/>
        <w:docPartUnique/>
      </w:docPartObj>
    </w:sdtPr>
    <w:sdtEndPr/>
    <w:sdtContent>
      <w:p w14:paraId="78B1E21E" w14:textId="3CC203AD" w:rsidR="00912BCA" w:rsidRDefault="00912BCA">
        <w:pPr>
          <w:pStyle w:val="Pidipagina"/>
          <w:jc w:val="right"/>
        </w:pPr>
        <w:r>
          <w:fldChar w:fldCharType="begin"/>
        </w:r>
        <w:r>
          <w:instrText>PAGE   \* MERGEFORMAT</w:instrText>
        </w:r>
        <w:r>
          <w:fldChar w:fldCharType="separate"/>
        </w:r>
        <w:r>
          <w:t>2</w:t>
        </w:r>
        <w:r>
          <w:fldChar w:fldCharType="end"/>
        </w:r>
      </w:p>
    </w:sdtContent>
  </w:sdt>
  <w:p w14:paraId="2A6773DB" w14:textId="77777777" w:rsidR="00912BCA" w:rsidRDefault="00912BC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1F50B" w14:textId="77777777" w:rsidR="00670FEA" w:rsidRDefault="00670FEA" w:rsidP="00912BCA">
      <w:pPr>
        <w:spacing w:after="0" w:line="240" w:lineRule="auto"/>
      </w:pPr>
      <w:r>
        <w:separator/>
      </w:r>
    </w:p>
  </w:footnote>
  <w:footnote w:type="continuationSeparator" w:id="0">
    <w:p w14:paraId="25B54876" w14:textId="77777777" w:rsidR="00670FEA" w:rsidRDefault="00670FEA" w:rsidP="00912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E9681" w14:textId="031A3F83" w:rsidR="008A63DA" w:rsidRPr="008A63DA" w:rsidRDefault="008A63DA" w:rsidP="008A63DA">
    <w:pPr>
      <w:pStyle w:val="Intestazione"/>
    </w:pPr>
    <w:r>
      <w:rPr>
        <w:noProof/>
        <w:lang w:eastAsia="it-IT"/>
      </w:rPr>
      <w:drawing>
        <wp:inline distT="0" distB="0" distL="0" distR="0" wp14:anchorId="21032DE1" wp14:editId="1203C771">
          <wp:extent cx="1885950" cy="5810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44898"/>
    <w:multiLevelType w:val="hybridMultilevel"/>
    <w:tmpl w:val="6CE884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D8454B6"/>
    <w:multiLevelType w:val="hybridMultilevel"/>
    <w:tmpl w:val="241486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A5341D6"/>
    <w:multiLevelType w:val="hybridMultilevel"/>
    <w:tmpl w:val="C504D2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BD1095B"/>
    <w:multiLevelType w:val="hybridMultilevel"/>
    <w:tmpl w:val="40D0DD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E620D05"/>
    <w:multiLevelType w:val="multilevel"/>
    <w:tmpl w:val="55D4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A35"/>
    <w:rsid w:val="00004A61"/>
    <w:rsid w:val="000068CC"/>
    <w:rsid w:val="00013B1D"/>
    <w:rsid w:val="00021170"/>
    <w:rsid w:val="00046273"/>
    <w:rsid w:val="0006664C"/>
    <w:rsid w:val="00072323"/>
    <w:rsid w:val="00087B8A"/>
    <w:rsid w:val="000B1B8B"/>
    <w:rsid w:val="000C6DB0"/>
    <w:rsid w:val="000D2C12"/>
    <w:rsid w:val="000D56AA"/>
    <w:rsid w:val="000D6A66"/>
    <w:rsid w:val="000E6B2D"/>
    <w:rsid w:val="001118EB"/>
    <w:rsid w:val="00126B45"/>
    <w:rsid w:val="001279D4"/>
    <w:rsid w:val="0013495C"/>
    <w:rsid w:val="0013527E"/>
    <w:rsid w:val="00147EB6"/>
    <w:rsid w:val="00153434"/>
    <w:rsid w:val="00171DE1"/>
    <w:rsid w:val="00196201"/>
    <w:rsid w:val="00196F5E"/>
    <w:rsid w:val="001B7354"/>
    <w:rsid w:val="001C6D8F"/>
    <w:rsid w:val="001E06F9"/>
    <w:rsid w:val="00211662"/>
    <w:rsid w:val="002161CE"/>
    <w:rsid w:val="00241F70"/>
    <w:rsid w:val="00243ECD"/>
    <w:rsid w:val="00276D90"/>
    <w:rsid w:val="0029186A"/>
    <w:rsid w:val="00296E71"/>
    <w:rsid w:val="002A28BE"/>
    <w:rsid w:val="002A68A4"/>
    <w:rsid w:val="002B4905"/>
    <w:rsid w:val="002B76F2"/>
    <w:rsid w:val="002E285F"/>
    <w:rsid w:val="002F18A7"/>
    <w:rsid w:val="00300274"/>
    <w:rsid w:val="00312A10"/>
    <w:rsid w:val="00323F47"/>
    <w:rsid w:val="00335E5D"/>
    <w:rsid w:val="00363237"/>
    <w:rsid w:val="003938C0"/>
    <w:rsid w:val="003A5429"/>
    <w:rsid w:val="003A7164"/>
    <w:rsid w:val="003C10E1"/>
    <w:rsid w:val="003C6E9B"/>
    <w:rsid w:val="003E1D63"/>
    <w:rsid w:val="00415AEB"/>
    <w:rsid w:val="00422942"/>
    <w:rsid w:val="00466254"/>
    <w:rsid w:val="004771FB"/>
    <w:rsid w:val="0048510C"/>
    <w:rsid w:val="0049172E"/>
    <w:rsid w:val="00492ECA"/>
    <w:rsid w:val="004E17D8"/>
    <w:rsid w:val="004E262C"/>
    <w:rsid w:val="004E497E"/>
    <w:rsid w:val="004F316B"/>
    <w:rsid w:val="004F6751"/>
    <w:rsid w:val="00500E63"/>
    <w:rsid w:val="00511AFE"/>
    <w:rsid w:val="005808C9"/>
    <w:rsid w:val="00597D32"/>
    <w:rsid w:val="005A4FA2"/>
    <w:rsid w:val="005E09F8"/>
    <w:rsid w:val="005E3A48"/>
    <w:rsid w:val="00600EE3"/>
    <w:rsid w:val="00604AD8"/>
    <w:rsid w:val="006129A6"/>
    <w:rsid w:val="006432E5"/>
    <w:rsid w:val="006448BF"/>
    <w:rsid w:val="00653B4C"/>
    <w:rsid w:val="006654BE"/>
    <w:rsid w:val="0066633D"/>
    <w:rsid w:val="00670FEA"/>
    <w:rsid w:val="006A03E4"/>
    <w:rsid w:val="006D0AD2"/>
    <w:rsid w:val="006D2749"/>
    <w:rsid w:val="006E1163"/>
    <w:rsid w:val="006F70D4"/>
    <w:rsid w:val="00705138"/>
    <w:rsid w:val="007155BB"/>
    <w:rsid w:val="00723D5E"/>
    <w:rsid w:val="0072686D"/>
    <w:rsid w:val="00743259"/>
    <w:rsid w:val="00767119"/>
    <w:rsid w:val="00786AD2"/>
    <w:rsid w:val="007A2294"/>
    <w:rsid w:val="007D68B6"/>
    <w:rsid w:val="008474A7"/>
    <w:rsid w:val="00851DC8"/>
    <w:rsid w:val="0086156D"/>
    <w:rsid w:val="00861F9A"/>
    <w:rsid w:val="00863D95"/>
    <w:rsid w:val="00880C32"/>
    <w:rsid w:val="008918DF"/>
    <w:rsid w:val="008A1B37"/>
    <w:rsid w:val="008A63DA"/>
    <w:rsid w:val="008E2FCB"/>
    <w:rsid w:val="008E5A35"/>
    <w:rsid w:val="0090546B"/>
    <w:rsid w:val="00912BCA"/>
    <w:rsid w:val="00915994"/>
    <w:rsid w:val="009221FE"/>
    <w:rsid w:val="009229B7"/>
    <w:rsid w:val="00926C8C"/>
    <w:rsid w:val="009464BC"/>
    <w:rsid w:val="00957DC7"/>
    <w:rsid w:val="0097019D"/>
    <w:rsid w:val="00973E59"/>
    <w:rsid w:val="00974F5B"/>
    <w:rsid w:val="00982D1F"/>
    <w:rsid w:val="009A066D"/>
    <w:rsid w:val="009B61F6"/>
    <w:rsid w:val="009C44C4"/>
    <w:rsid w:val="009E4161"/>
    <w:rsid w:val="009E6B6B"/>
    <w:rsid w:val="00A32EBE"/>
    <w:rsid w:val="00A47655"/>
    <w:rsid w:val="00A62043"/>
    <w:rsid w:val="00A670A0"/>
    <w:rsid w:val="00A76855"/>
    <w:rsid w:val="00A77121"/>
    <w:rsid w:val="00A82C69"/>
    <w:rsid w:val="00AD110A"/>
    <w:rsid w:val="00AF4498"/>
    <w:rsid w:val="00B00335"/>
    <w:rsid w:val="00B03E42"/>
    <w:rsid w:val="00B04C4C"/>
    <w:rsid w:val="00B17D93"/>
    <w:rsid w:val="00B74F00"/>
    <w:rsid w:val="00BC0824"/>
    <w:rsid w:val="00BC1B98"/>
    <w:rsid w:val="00BE1CFF"/>
    <w:rsid w:val="00BE3C5E"/>
    <w:rsid w:val="00BF2885"/>
    <w:rsid w:val="00BF2D03"/>
    <w:rsid w:val="00C218C1"/>
    <w:rsid w:val="00C4434C"/>
    <w:rsid w:val="00C45FA3"/>
    <w:rsid w:val="00C5166C"/>
    <w:rsid w:val="00C569F7"/>
    <w:rsid w:val="00C57330"/>
    <w:rsid w:val="00C603BD"/>
    <w:rsid w:val="00C704D0"/>
    <w:rsid w:val="00C864A1"/>
    <w:rsid w:val="00C924C9"/>
    <w:rsid w:val="00CA3857"/>
    <w:rsid w:val="00CA6278"/>
    <w:rsid w:val="00CE3FAB"/>
    <w:rsid w:val="00CE51F2"/>
    <w:rsid w:val="00CE5D0B"/>
    <w:rsid w:val="00CF1BB4"/>
    <w:rsid w:val="00D0166B"/>
    <w:rsid w:val="00D11EDB"/>
    <w:rsid w:val="00D143B1"/>
    <w:rsid w:val="00D154AB"/>
    <w:rsid w:val="00D16D82"/>
    <w:rsid w:val="00D54EAC"/>
    <w:rsid w:val="00D55700"/>
    <w:rsid w:val="00D70C35"/>
    <w:rsid w:val="00DA0662"/>
    <w:rsid w:val="00DE5786"/>
    <w:rsid w:val="00DF4436"/>
    <w:rsid w:val="00DF5F03"/>
    <w:rsid w:val="00E049E3"/>
    <w:rsid w:val="00E10775"/>
    <w:rsid w:val="00E249D6"/>
    <w:rsid w:val="00E61CF9"/>
    <w:rsid w:val="00E71E11"/>
    <w:rsid w:val="00E95B7E"/>
    <w:rsid w:val="00E95BF8"/>
    <w:rsid w:val="00EA79AC"/>
    <w:rsid w:val="00EB752F"/>
    <w:rsid w:val="00EC14E3"/>
    <w:rsid w:val="00EC7D24"/>
    <w:rsid w:val="00ED6B9E"/>
    <w:rsid w:val="00EF0BA4"/>
    <w:rsid w:val="00EF2F8A"/>
    <w:rsid w:val="00EF5CA7"/>
    <w:rsid w:val="00F0311F"/>
    <w:rsid w:val="00F05C09"/>
    <w:rsid w:val="00F226F2"/>
    <w:rsid w:val="00F52E39"/>
    <w:rsid w:val="00F53138"/>
    <w:rsid w:val="00F61143"/>
    <w:rsid w:val="00F80E49"/>
    <w:rsid w:val="00F85F78"/>
    <w:rsid w:val="00FA3FA2"/>
    <w:rsid w:val="00FA68C9"/>
    <w:rsid w:val="00FA78C0"/>
    <w:rsid w:val="00FB4C68"/>
    <w:rsid w:val="00FC2900"/>
    <w:rsid w:val="00FE2D7B"/>
    <w:rsid w:val="00FF386E"/>
    <w:rsid w:val="00FF44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A143E"/>
  <w15:chartTrackingRefBased/>
  <w15:docId w15:val="{D8767D66-6F1E-4988-BC2F-55E0C2B89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2A6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B76F2"/>
    <w:pPr>
      <w:ind w:left="720"/>
      <w:contextualSpacing/>
    </w:pPr>
  </w:style>
  <w:style w:type="paragraph" w:styleId="Intestazione">
    <w:name w:val="header"/>
    <w:basedOn w:val="Normale"/>
    <w:link w:val="IntestazioneCarattere"/>
    <w:uiPriority w:val="99"/>
    <w:unhideWhenUsed/>
    <w:rsid w:val="00912BC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12BCA"/>
  </w:style>
  <w:style w:type="paragraph" w:styleId="Pidipagina">
    <w:name w:val="footer"/>
    <w:basedOn w:val="Normale"/>
    <w:link w:val="PidipaginaCarattere"/>
    <w:uiPriority w:val="99"/>
    <w:unhideWhenUsed/>
    <w:rsid w:val="00912BC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12BCA"/>
  </w:style>
  <w:style w:type="character" w:styleId="Enfasigrassetto">
    <w:name w:val="Strong"/>
    <w:basedOn w:val="Carpredefinitoparagrafo"/>
    <w:uiPriority w:val="22"/>
    <w:qFormat/>
    <w:rsid w:val="00BC1B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329355">
      <w:bodyDiv w:val="1"/>
      <w:marLeft w:val="0"/>
      <w:marRight w:val="0"/>
      <w:marTop w:val="0"/>
      <w:marBottom w:val="0"/>
      <w:divBdr>
        <w:top w:val="none" w:sz="0" w:space="0" w:color="auto"/>
        <w:left w:val="none" w:sz="0" w:space="0" w:color="auto"/>
        <w:bottom w:val="none" w:sz="0" w:space="0" w:color="auto"/>
        <w:right w:val="none" w:sz="0" w:space="0" w:color="auto"/>
      </w:divBdr>
    </w:div>
    <w:div w:id="1368489041">
      <w:bodyDiv w:val="1"/>
      <w:marLeft w:val="0"/>
      <w:marRight w:val="0"/>
      <w:marTop w:val="0"/>
      <w:marBottom w:val="0"/>
      <w:divBdr>
        <w:top w:val="none" w:sz="0" w:space="0" w:color="auto"/>
        <w:left w:val="none" w:sz="0" w:space="0" w:color="auto"/>
        <w:bottom w:val="none" w:sz="0" w:space="0" w:color="auto"/>
        <w:right w:val="none" w:sz="0" w:space="0" w:color="auto"/>
      </w:divBdr>
      <w:divsChild>
        <w:div w:id="1179471230">
          <w:marLeft w:val="0"/>
          <w:marRight w:val="0"/>
          <w:marTop w:val="120"/>
          <w:marBottom w:val="0"/>
          <w:divBdr>
            <w:top w:val="none" w:sz="0" w:space="0" w:color="auto"/>
            <w:left w:val="none" w:sz="0" w:space="0" w:color="auto"/>
            <w:bottom w:val="none" w:sz="0" w:space="0" w:color="auto"/>
            <w:right w:val="none" w:sz="0" w:space="0" w:color="auto"/>
          </w:divBdr>
          <w:divsChild>
            <w:div w:id="1480728243">
              <w:marLeft w:val="0"/>
              <w:marRight w:val="0"/>
              <w:marTop w:val="0"/>
              <w:marBottom w:val="0"/>
              <w:divBdr>
                <w:top w:val="none" w:sz="0" w:space="0" w:color="auto"/>
                <w:left w:val="none" w:sz="0" w:space="0" w:color="auto"/>
                <w:bottom w:val="none" w:sz="0" w:space="0" w:color="auto"/>
                <w:right w:val="none" w:sz="0" w:space="0" w:color="auto"/>
              </w:divBdr>
            </w:div>
          </w:divsChild>
        </w:div>
        <w:div w:id="67314914">
          <w:marLeft w:val="0"/>
          <w:marRight w:val="0"/>
          <w:marTop w:val="120"/>
          <w:marBottom w:val="0"/>
          <w:divBdr>
            <w:top w:val="none" w:sz="0" w:space="0" w:color="auto"/>
            <w:left w:val="none" w:sz="0" w:space="0" w:color="auto"/>
            <w:bottom w:val="none" w:sz="0" w:space="0" w:color="auto"/>
            <w:right w:val="none" w:sz="0" w:space="0" w:color="auto"/>
          </w:divBdr>
          <w:divsChild>
            <w:div w:id="1778988890">
              <w:marLeft w:val="0"/>
              <w:marRight w:val="0"/>
              <w:marTop w:val="0"/>
              <w:marBottom w:val="0"/>
              <w:divBdr>
                <w:top w:val="none" w:sz="0" w:space="0" w:color="auto"/>
                <w:left w:val="none" w:sz="0" w:space="0" w:color="auto"/>
                <w:bottom w:val="none" w:sz="0" w:space="0" w:color="auto"/>
                <w:right w:val="none" w:sz="0" w:space="0" w:color="auto"/>
              </w:divBdr>
            </w:div>
          </w:divsChild>
        </w:div>
        <w:div w:id="626551726">
          <w:marLeft w:val="0"/>
          <w:marRight w:val="0"/>
          <w:marTop w:val="120"/>
          <w:marBottom w:val="0"/>
          <w:divBdr>
            <w:top w:val="none" w:sz="0" w:space="0" w:color="auto"/>
            <w:left w:val="none" w:sz="0" w:space="0" w:color="auto"/>
            <w:bottom w:val="none" w:sz="0" w:space="0" w:color="auto"/>
            <w:right w:val="none" w:sz="0" w:space="0" w:color="auto"/>
          </w:divBdr>
          <w:divsChild>
            <w:div w:id="303707684">
              <w:marLeft w:val="0"/>
              <w:marRight w:val="0"/>
              <w:marTop w:val="0"/>
              <w:marBottom w:val="0"/>
              <w:divBdr>
                <w:top w:val="none" w:sz="0" w:space="0" w:color="auto"/>
                <w:left w:val="none" w:sz="0" w:space="0" w:color="auto"/>
                <w:bottom w:val="none" w:sz="0" w:space="0" w:color="auto"/>
                <w:right w:val="none" w:sz="0" w:space="0" w:color="auto"/>
              </w:divBdr>
            </w:div>
          </w:divsChild>
        </w:div>
        <w:div w:id="738945697">
          <w:marLeft w:val="0"/>
          <w:marRight w:val="0"/>
          <w:marTop w:val="120"/>
          <w:marBottom w:val="0"/>
          <w:divBdr>
            <w:top w:val="none" w:sz="0" w:space="0" w:color="auto"/>
            <w:left w:val="none" w:sz="0" w:space="0" w:color="auto"/>
            <w:bottom w:val="none" w:sz="0" w:space="0" w:color="auto"/>
            <w:right w:val="none" w:sz="0" w:space="0" w:color="auto"/>
          </w:divBdr>
          <w:divsChild>
            <w:div w:id="660234805">
              <w:marLeft w:val="0"/>
              <w:marRight w:val="0"/>
              <w:marTop w:val="0"/>
              <w:marBottom w:val="0"/>
              <w:divBdr>
                <w:top w:val="none" w:sz="0" w:space="0" w:color="auto"/>
                <w:left w:val="none" w:sz="0" w:space="0" w:color="auto"/>
                <w:bottom w:val="none" w:sz="0" w:space="0" w:color="auto"/>
                <w:right w:val="none" w:sz="0" w:space="0" w:color="auto"/>
              </w:divBdr>
            </w:div>
          </w:divsChild>
        </w:div>
        <w:div w:id="529148887">
          <w:marLeft w:val="0"/>
          <w:marRight w:val="0"/>
          <w:marTop w:val="120"/>
          <w:marBottom w:val="0"/>
          <w:divBdr>
            <w:top w:val="none" w:sz="0" w:space="0" w:color="auto"/>
            <w:left w:val="none" w:sz="0" w:space="0" w:color="auto"/>
            <w:bottom w:val="none" w:sz="0" w:space="0" w:color="auto"/>
            <w:right w:val="none" w:sz="0" w:space="0" w:color="auto"/>
          </w:divBdr>
          <w:divsChild>
            <w:div w:id="1482849483">
              <w:marLeft w:val="0"/>
              <w:marRight w:val="0"/>
              <w:marTop w:val="0"/>
              <w:marBottom w:val="0"/>
              <w:divBdr>
                <w:top w:val="none" w:sz="0" w:space="0" w:color="auto"/>
                <w:left w:val="none" w:sz="0" w:space="0" w:color="auto"/>
                <w:bottom w:val="none" w:sz="0" w:space="0" w:color="auto"/>
                <w:right w:val="none" w:sz="0" w:space="0" w:color="auto"/>
              </w:divBdr>
            </w:div>
          </w:divsChild>
        </w:div>
        <w:div w:id="855653958">
          <w:marLeft w:val="0"/>
          <w:marRight w:val="0"/>
          <w:marTop w:val="120"/>
          <w:marBottom w:val="0"/>
          <w:divBdr>
            <w:top w:val="none" w:sz="0" w:space="0" w:color="auto"/>
            <w:left w:val="none" w:sz="0" w:space="0" w:color="auto"/>
            <w:bottom w:val="none" w:sz="0" w:space="0" w:color="auto"/>
            <w:right w:val="none" w:sz="0" w:space="0" w:color="auto"/>
          </w:divBdr>
          <w:divsChild>
            <w:div w:id="1990815913">
              <w:marLeft w:val="0"/>
              <w:marRight w:val="0"/>
              <w:marTop w:val="0"/>
              <w:marBottom w:val="0"/>
              <w:divBdr>
                <w:top w:val="none" w:sz="0" w:space="0" w:color="auto"/>
                <w:left w:val="none" w:sz="0" w:space="0" w:color="auto"/>
                <w:bottom w:val="none" w:sz="0" w:space="0" w:color="auto"/>
                <w:right w:val="none" w:sz="0" w:space="0" w:color="auto"/>
              </w:divBdr>
            </w:div>
          </w:divsChild>
        </w:div>
        <w:div w:id="207032755">
          <w:marLeft w:val="0"/>
          <w:marRight w:val="0"/>
          <w:marTop w:val="120"/>
          <w:marBottom w:val="0"/>
          <w:divBdr>
            <w:top w:val="none" w:sz="0" w:space="0" w:color="auto"/>
            <w:left w:val="none" w:sz="0" w:space="0" w:color="auto"/>
            <w:bottom w:val="none" w:sz="0" w:space="0" w:color="auto"/>
            <w:right w:val="none" w:sz="0" w:space="0" w:color="auto"/>
          </w:divBdr>
          <w:divsChild>
            <w:div w:id="772634472">
              <w:marLeft w:val="0"/>
              <w:marRight w:val="0"/>
              <w:marTop w:val="0"/>
              <w:marBottom w:val="0"/>
              <w:divBdr>
                <w:top w:val="none" w:sz="0" w:space="0" w:color="auto"/>
                <w:left w:val="none" w:sz="0" w:space="0" w:color="auto"/>
                <w:bottom w:val="none" w:sz="0" w:space="0" w:color="auto"/>
                <w:right w:val="none" w:sz="0" w:space="0" w:color="auto"/>
              </w:divBdr>
            </w:div>
          </w:divsChild>
        </w:div>
        <w:div w:id="874081210">
          <w:marLeft w:val="0"/>
          <w:marRight w:val="0"/>
          <w:marTop w:val="120"/>
          <w:marBottom w:val="0"/>
          <w:divBdr>
            <w:top w:val="none" w:sz="0" w:space="0" w:color="auto"/>
            <w:left w:val="none" w:sz="0" w:space="0" w:color="auto"/>
            <w:bottom w:val="none" w:sz="0" w:space="0" w:color="auto"/>
            <w:right w:val="none" w:sz="0" w:space="0" w:color="auto"/>
          </w:divBdr>
          <w:divsChild>
            <w:div w:id="2111776031">
              <w:marLeft w:val="0"/>
              <w:marRight w:val="0"/>
              <w:marTop w:val="0"/>
              <w:marBottom w:val="0"/>
              <w:divBdr>
                <w:top w:val="none" w:sz="0" w:space="0" w:color="auto"/>
                <w:left w:val="none" w:sz="0" w:space="0" w:color="auto"/>
                <w:bottom w:val="none" w:sz="0" w:space="0" w:color="auto"/>
                <w:right w:val="none" w:sz="0" w:space="0" w:color="auto"/>
              </w:divBdr>
            </w:div>
          </w:divsChild>
        </w:div>
        <w:div w:id="1556772419">
          <w:marLeft w:val="0"/>
          <w:marRight w:val="0"/>
          <w:marTop w:val="120"/>
          <w:marBottom w:val="0"/>
          <w:divBdr>
            <w:top w:val="none" w:sz="0" w:space="0" w:color="auto"/>
            <w:left w:val="none" w:sz="0" w:space="0" w:color="auto"/>
            <w:bottom w:val="none" w:sz="0" w:space="0" w:color="auto"/>
            <w:right w:val="none" w:sz="0" w:space="0" w:color="auto"/>
          </w:divBdr>
          <w:divsChild>
            <w:div w:id="1617370840">
              <w:marLeft w:val="0"/>
              <w:marRight w:val="0"/>
              <w:marTop w:val="0"/>
              <w:marBottom w:val="0"/>
              <w:divBdr>
                <w:top w:val="none" w:sz="0" w:space="0" w:color="auto"/>
                <w:left w:val="none" w:sz="0" w:space="0" w:color="auto"/>
                <w:bottom w:val="none" w:sz="0" w:space="0" w:color="auto"/>
                <w:right w:val="none" w:sz="0" w:space="0" w:color="auto"/>
              </w:divBdr>
            </w:div>
          </w:divsChild>
        </w:div>
        <w:div w:id="1087459837">
          <w:marLeft w:val="0"/>
          <w:marRight w:val="0"/>
          <w:marTop w:val="120"/>
          <w:marBottom w:val="0"/>
          <w:divBdr>
            <w:top w:val="none" w:sz="0" w:space="0" w:color="auto"/>
            <w:left w:val="none" w:sz="0" w:space="0" w:color="auto"/>
            <w:bottom w:val="none" w:sz="0" w:space="0" w:color="auto"/>
            <w:right w:val="none" w:sz="0" w:space="0" w:color="auto"/>
          </w:divBdr>
          <w:divsChild>
            <w:div w:id="267155679">
              <w:marLeft w:val="0"/>
              <w:marRight w:val="0"/>
              <w:marTop w:val="0"/>
              <w:marBottom w:val="0"/>
              <w:divBdr>
                <w:top w:val="none" w:sz="0" w:space="0" w:color="auto"/>
                <w:left w:val="none" w:sz="0" w:space="0" w:color="auto"/>
                <w:bottom w:val="none" w:sz="0" w:space="0" w:color="auto"/>
                <w:right w:val="none" w:sz="0" w:space="0" w:color="auto"/>
              </w:divBdr>
            </w:div>
          </w:divsChild>
        </w:div>
        <w:div w:id="27531520">
          <w:marLeft w:val="0"/>
          <w:marRight w:val="0"/>
          <w:marTop w:val="120"/>
          <w:marBottom w:val="0"/>
          <w:divBdr>
            <w:top w:val="none" w:sz="0" w:space="0" w:color="auto"/>
            <w:left w:val="none" w:sz="0" w:space="0" w:color="auto"/>
            <w:bottom w:val="none" w:sz="0" w:space="0" w:color="auto"/>
            <w:right w:val="none" w:sz="0" w:space="0" w:color="auto"/>
          </w:divBdr>
          <w:divsChild>
            <w:div w:id="17318680">
              <w:marLeft w:val="0"/>
              <w:marRight w:val="0"/>
              <w:marTop w:val="0"/>
              <w:marBottom w:val="0"/>
              <w:divBdr>
                <w:top w:val="none" w:sz="0" w:space="0" w:color="auto"/>
                <w:left w:val="none" w:sz="0" w:space="0" w:color="auto"/>
                <w:bottom w:val="none" w:sz="0" w:space="0" w:color="auto"/>
                <w:right w:val="none" w:sz="0" w:space="0" w:color="auto"/>
              </w:divBdr>
            </w:div>
          </w:divsChild>
        </w:div>
        <w:div w:id="1443956609">
          <w:marLeft w:val="0"/>
          <w:marRight w:val="0"/>
          <w:marTop w:val="120"/>
          <w:marBottom w:val="0"/>
          <w:divBdr>
            <w:top w:val="none" w:sz="0" w:space="0" w:color="auto"/>
            <w:left w:val="none" w:sz="0" w:space="0" w:color="auto"/>
            <w:bottom w:val="none" w:sz="0" w:space="0" w:color="auto"/>
            <w:right w:val="none" w:sz="0" w:space="0" w:color="auto"/>
          </w:divBdr>
          <w:divsChild>
            <w:div w:id="537208346">
              <w:marLeft w:val="0"/>
              <w:marRight w:val="0"/>
              <w:marTop w:val="0"/>
              <w:marBottom w:val="0"/>
              <w:divBdr>
                <w:top w:val="none" w:sz="0" w:space="0" w:color="auto"/>
                <w:left w:val="none" w:sz="0" w:space="0" w:color="auto"/>
                <w:bottom w:val="none" w:sz="0" w:space="0" w:color="auto"/>
                <w:right w:val="none" w:sz="0" w:space="0" w:color="auto"/>
              </w:divBdr>
            </w:div>
          </w:divsChild>
        </w:div>
        <w:div w:id="1787237294">
          <w:marLeft w:val="0"/>
          <w:marRight w:val="0"/>
          <w:marTop w:val="120"/>
          <w:marBottom w:val="0"/>
          <w:divBdr>
            <w:top w:val="none" w:sz="0" w:space="0" w:color="auto"/>
            <w:left w:val="none" w:sz="0" w:space="0" w:color="auto"/>
            <w:bottom w:val="none" w:sz="0" w:space="0" w:color="auto"/>
            <w:right w:val="none" w:sz="0" w:space="0" w:color="auto"/>
          </w:divBdr>
          <w:divsChild>
            <w:div w:id="2000498240">
              <w:marLeft w:val="0"/>
              <w:marRight w:val="0"/>
              <w:marTop w:val="0"/>
              <w:marBottom w:val="0"/>
              <w:divBdr>
                <w:top w:val="none" w:sz="0" w:space="0" w:color="auto"/>
                <w:left w:val="none" w:sz="0" w:space="0" w:color="auto"/>
                <w:bottom w:val="none" w:sz="0" w:space="0" w:color="auto"/>
                <w:right w:val="none" w:sz="0" w:space="0" w:color="auto"/>
              </w:divBdr>
            </w:div>
          </w:divsChild>
        </w:div>
        <w:div w:id="1188450551">
          <w:marLeft w:val="0"/>
          <w:marRight w:val="0"/>
          <w:marTop w:val="120"/>
          <w:marBottom w:val="0"/>
          <w:divBdr>
            <w:top w:val="none" w:sz="0" w:space="0" w:color="auto"/>
            <w:left w:val="none" w:sz="0" w:space="0" w:color="auto"/>
            <w:bottom w:val="none" w:sz="0" w:space="0" w:color="auto"/>
            <w:right w:val="none" w:sz="0" w:space="0" w:color="auto"/>
          </w:divBdr>
          <w:divsChild>
            <w:div w:id="2095317477">
              <w:marLeft w:val="0"/>
              <w:marRight w:val="0"/>
              <w:marTop w:val="0"/>
              <w:marBottom w:val="0"/>
              <w:divBdr>
                <w:top w:val="none" w:sz="0" w:space="0" w:color="auto"/>
                <w:left w:val="none" w:sz="0" w:space="0" w:color="auto"/>
                <w:bottom w:val="none" w:sz="0" w:space="0" w:color="auto"/>
                <w:right w:val="none" w:sz="0" w:space="0" w:color="auto"/>
              </w:divBdr>
            </w:div>
          </w:divsChild>
        </w:div>
        <w:div w:id="116531046">
          <w:marLeft w:val="0"/>
          <w:marRight w:val="0"/>
          <w:marTop w:val="120"/>
          <w:marBottom w:val="0"/>
          <w:divBdr>
            <w:top w:val="none" w:sz="0" w:space="0" w:color="auto"/>
            <w:left w:val="none" w:sz="0" w:space="0" w:color="auto"/>
            <w:bottom w:val="none" w:sz="0" w:space="0" w:color="auto"/>
            <w:right w:val="none" w:sz="0" w:space="0" w:color="auto"/>
          </w:divBdr>
          <w:divsChild>
            <w:div w:id="713236943">
              <w:marLeft w:val="0"/>
              <w:marRight w:val="0"/>
              <w:marTop w:val="0"/>
              <w:marBottom w:val="0"/>
              <w:divBdr>
                <w:top w:val="none" w:sz="0" w:space="0" w:color="auto"/>
                <w:left w:val="none" w:sz="0" w:space="0" w:color="auto"/>
                <w:bottom w:val="none" w:sz="0" w:space="0" w:color="auto"/>
                <w:right w:val="none" w:sz="0" w:space="0" w:color="auto"/>
              </w:divBdr>
            </w:div>
          </w:divsChild>
        </w:div>
        <w:div w:id="709261914">
          <w:marLeft w:val="0"/>
          <w:marRight w:val="0"/>
          <w:marTop w:val="120"/>
          <w:marBottom w:val="0"/>
          <w:divBdr>
            <w:top w:val="none" w:sz="0" w:space="0" w:color="auto"/>
            <w:left w:val="none" w:sz="0" w:space="0" w:color="auto"/>
            <w:bottom w:val="none" w:sz="0" w:space="0" w:color="auto"/>
            <w:right w:val="none" w:sz="0" w:space="0" w:color="auto"/>
          </w:divBdr>
          <w:divsChild>
            <w:div w:id="554240715">
              <w:marLeft w:val="0"/>
              <w:marRight w:val="0"/>
              <w:marTop w:val="0"/>
              <w:marBottom w:val="0"/>
              <w:divBdr>
                <w:top w:val="none" w:sz="0" w:space="0" w:color="auto"/>
                <w:left w:val="none" w:sz="0" w:space="0" w:color="auto"/>
                <w:bottom w:val="none" w:sz="0" w:space="0" w:color="auto"/>
                <w:right w:val="none" w:sz="0" w:space="0" w:color="auto"/>
              </w:divBdr>
            </w:div>
          </w:divsChild>
        </w:div>
        <w:div w:id="2068406561">
          <w:marLeft w:val="0"/>
          <w:marRight w:val="0"/>
          <w:marTop w:val="120"/>
          <w:marBottom w:val="0"/>
          <w:divBdr>
            <w:top w:val="none" w:sz="0" w:space="0" w:color="auto"/>
            <w:left w:val="none" w:sz="0" w:space="0" w:color="auto"/>
            <w:bottom w:val="none" w:sz="0" w:space="0" w:color="auto"/>
            <w:right w:val="none" w:sz="0" w:space="0" w:color="auto"/>
          </w:divBdr>
          <w:divsChild>
            <w:div w:id="191462075">
              <w:marLeft w:val="0"/>
              <w:marRight w:val="0"/>
              <w:marTop w:val="0"/>
              <w:marBottom w:val="0"/>
              <w:divBdr>
                <w:top w:val="none" w:sz="0" w:space="0" w:color="auto"/>
                <w:left w:val="none" w:sz="0" w:space="0" w:color="auto"/>
                <w:bottom w:val="none" w:sz="0" w:space="0" w:color="auto"/>
                <w:right w:val="none" w:sz="0" w:space="0" w:color="auto"/>
              </w:divBdr>
            </w:div>
          </w:divsChild>
        </w:div>
        <w:div w:id="1659112848">
          <w:marLeft w:val="0"/>
          <w:marRight w:val="0"/>
          <w:marTop w:val="120"/>
          <w:marBottom w:val="0"/>
          <w:divBdr>
            <w:top w:val="none" w:sz="0" w:space="0" w:color="auto"/>
            <w:left w:val="none" w:sz="0" w:space="0" w:color="auto"/>
            <w:bottom w:val="none" w:sz="0" w:space="0" w:color="auto"/>
            <w:right w:val="none" w:sz="0" w:space="0" w:color="auto"/>
          </w:divBdr>
          <w:divsChild>
            <w:div w:id="1090008063">
              <w:marLeft w:val="0"/>
              <w:marRight w:val="0"/>
              <w:marTop w:val="0"/>
              <w:marBottom w:val="0"/>
              <w:divBdr>
                <w:top w:val="none" w:sz="0" w:space="0" w:color="auto"/>
                <w:left w:val="none" w:sz="0" w:space="0" w:color="auto"/>
                <w:bottom w:val="none" w:sz="0" w:space="0" w:color="auto"/>
                <w:right w:val="none" w:sz="0" w:space="0" w:color="auto"/>
              </w:divBdr>
            </w:div>
          </w:divsChild>
        </w:div>
        <w:div w:id="778573508">
          <w:marLeft w:val="0"/>
          <w:marRight w:val="0"/>
          <w:marTop w:val="120"/>
          <w:marBottom w:val="0"/>
          <w:divBdr>
            <w:top w:val="none" w:sz="0" w:space="0" w:color="auto"/>
            <w:left w:val="none" w:sz="0" w:space="0" w:color="auto"/>
            <w:bottom w:val="none" w:sz="0" w:space="0" w:color="auto"/>
            <w:right w:val="none" w:sz="0" w:space="0" w:color="auto"/>
          </w:divBdr>
          <w:divsChild>
            <w:div w:id="1755858960">
              <w:marLeft w:val="0"/>
              <w:marRight w:val="0"/>
              <w:marTop w:val="0"/>
              <w:marBottom w:val="0"/>
              <w:divBdr>
                <w:top w:val="none" w:sz="0" w:space="0" w:color="auto"/>
                <w:left w:val="none" w:sz="0" w:space="0" w:color="auto"/>
                <w:bottom w:val="none" w:sz="0" w:space="0" w:color="auto"/>
                <w:right w:val="none" w:sz="0" w:space="0" w:color="auto"/>
              </w:divBdr>
            </w:div>
          </w:divsChild>
        </w:div>
        <w:div w:id="309602876">
          <w:marLeft w:val="0"/>
          <w:marRight w:val="0"/>
          <w:marTop w:val="120"/>
          <w:marBottom w:val="0"/>
          <w:divBdr>
            <w:top w:val="none" w:sz="0" w:space="0" w:color="auto"/>
            <w:left w:val="none" w:sz="0" w:space="0" w:color="auto"/>
            <w:bottom w:val="none" w:sz="0" w:space="0" w:color="auto"/>
            <w:right w:val="none" w:sz="0" w:space="0" w:color="auto"/>
          </w:divBdr>
          <w:divsChild>
            <w:div w:id="170787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97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1E033-F965-44D6-B65D-5503FCD0B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3091</Words>
  <Characters>17624</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Lello Macro</dc:creator>
  <cp:keywords/>
  <dc:description/>
  <cp:lastModifiedBy>PAOLO PIZZO</cp:lastModifiedBy>
  <cp:revision>3</cp:revision>
  <dcterms:created xsi:type="dcterms:W3CDTF">2020-11-23T10:30:00Z</dcterms:created>
  <dcterms:modified xsi:type="dcterms:W3CDTF">2020-11-23T12:02:00Z</dcterms:modified>
</cp:coreProperties>
</file>